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5E809" w14:textId="77777777" w:rsidR="008200EB" w:rsidRDefault="008200EB">
      <w:pPr>
        <w:rPr>
          <w:sz w:val="24"/>
          <w:szCs w:val="24"/>
        </w:rPr>
      </w:pPr>
    </w:p>
    <w:p w14:paraId="24036F46" w14:textId="77777777" w:rsidR="008200EB" w:rsidRDefault="008200EB">
      <w:pPr>
        <w:rPr>
          <w:sz w:val="24"/>
          <w:szCs w:val="24"/>
        </w:rPr>
      </w:pPr>
      <w:r>
        <w:rPr>
          <w:sz w:val="24"/>
          <w:szCs w:val="24"/>
        </w:rPr>
        <w:t>As representatives of the undersigned organizations</w:t>
      </w:r>
      <w:r w:rsidR="001367BF">
        <w:rPr>
          <w:sz w:val="24"/>
          <w:szCs w:val="24"/>
        </w:rPr>
        <w:t xml:space="preserve"> long concerned about student privacy and parental rights</w:t>
      </w:r>
      <w:r>
        <w:rPr>
          <w:sz w:val="24"/>
          <w:szCs w:val="24"/>
        </w:rPr>
        <w:t xml:space="preserve">, we </w:t>
      </w:r>
      <w:r w:rsidR="006D2B62">
        <w:rPr>
          <w:sz w:val="24"/>
          <w:szCs w:val="24"/>
        </w:rPr>
        <w:t>are writing</w:t>
      </w:r>
      <w:r>
        <w:rPr>
          <w:sz w:val="24"/>
          <w:szCs w:val="24"/>
        </w:rPr>
        <w:t xml:space="preserve"> to </w:t>
      </w:r>
      <w:r w:rsidR="00266832">
        <w:rPr>
          <w:sz w:val="24"/>
          <w:szCs w:val="24"/>
        </w:rPr>
        <w:t xml:space="preserve">alert </w:t>
      </w:r>
      <w:r w:rsidR="006D2B62">
        <w:rPr>
          <w:sz w:val="24"/>
          <w:szCs w:val="24"/>
        </w:rPr>
        <w:t xml:space="preserve">you </w:t>
      </w:r>
      <w:r w:rsidR="00587B01">
        <w:rPr>
          <w:sz w:val="24"/>
          <w:szCs w:val="24"/>
        </w:rPr>
        <w:t>to what can only be described as an unprecedented assault on</w:t>
      </w:r>
      <w:r w:rsidR="001367BF">
        <w:rPr>
          <w:sz w:val="24"/>
          <w:szCs w:val="24"/>
        </w:rPr>
        <w:t xml:space="preserve"> both</w:t>
      </w:r>
      <w:r w:rsidR="00587B01">
        <w:rPr>
          <w:sz w:val="24"/>
          <w:szCs w:val="24"/>
        </w:rPr>
        <w:t>. This assault comes in the form of three bills</w:t>
      </w:r>
      <w:r w:rsidR="006D2B62">
        <w:rPr>
          <w:sz w:val="24"/>
          <w:szCs w:val="24"/>
        </w:rPr>
        <w:t>, two</w:t>
      </w:r>
      <w:r w:rsidR="00587B01">
        <w:rPr>
          <w:sz w:val="24"/>
          <w:szCs w:val="24"/>
        </w:rPr>
        <w:t xml:space="preserve"> currently pending</w:t>
      </w:r>
      <w:r w:rsidR="006D2B62">
        <w:rPr>
          <w:sz w:val="24"/>
          <w:szCs w:val="24"/>
        </w:rPr>
        <w:t xml:space="preserve"> and the third about to be re-introduced</w:t>
      </w:r>
      <w:r w:rsidR="00587B01">
        <w:rPr>
          <w:sz w:val="24"/>
          <w:szCs w:val="24"/>
        </w:rPr>
        <w:t>:</w:t>
      </w:r>
    </w:p>
    <w:p w14:paraId="32D08747" w14:textId="77777777" w:rsidR="00875472" w:rsidRDefault="00875472" w:rsidP="00587B01">
      <w:pPr>
        <w:pStyle w:val="ListParagraph"/>
        <w:numPr>
          <w:ilvl w:val="0"/>
          <w:numId w:val="1"/>
        </w:numPr>
        <w:rPr>
          <w:sz w:val="24"/>
          <w:szCs w:val="24"/>
        </w:rPr>
      </w:pPr>
      <w:r>
        <w:rPr>
          <w:sz w:val="24"/>
          <w:szCs w:val="24"/>
        </w:rPr>
        <w:t>The Col</w:t>
      </w:r>
      <w:r w:rsidR="00FF71A0">
        <w:rPr>
          <w:sz w:val="24"/>
          <w:szCs w:val="24"/>
        </w:rPr>
        <w:t xml:space="preserve">lege Transparency Act </w:t>
      </w:r>
      <w:r w:rsidR="00717466">
        <w:rPr>
          <w:sz w:val="24"/>
          <w:szCs w:val="24"/>
        </w:rPr>
        <w:t xml:space="preserve">(CTA) </w:t>
      </w:r>
      <w:r w:rsidR="00FF71A0">
        <w:rPr>
          <w:sz w:val="24"/>
          <w:szCs w:val="24"/>
        </w:rPr>
        <w:t>(H.R. 2434), which would overturn the Higher Education Act’s ban on a federal student unit-record system and establish</w:t>
      </w:r>
      <w:r w:rsidR="00A405F8">
        <w:rPr>
          <w:sz w:val="24"/>
          <w:szCs w:val="24"/>
        </w:rPr>
        <w:t xml:space="preserve"> a system of lifelong tracking of individual</w:t>
      </w:r>
      <w:r w:rsidR="006D2B62">
        <w:rPr>
          <w:sz w:val="24"/>
          <w:szCs w:val="24"/>
        </w:rPr>
        <w:t xml:space="preserve">s by the federal government; </w:t>
      </w:r>
      <w:r w:rsidR="00A405F8">
        <w:rPr>
          <w:sz w:val="24"/>
          <w:szCs w:val="24"/>
        </w:rPr>
        <w:t xml:space="preserve"> </w:t>
      </w:r>
    </w:p>
    <w:p w14:paraId="04E28723" w14:textId="77777777" w:rsidR="00A405F8" w:rsidRDefault="00A405F8" w:rsidP="00587B01">
      <w:pPr>
        <w:pStyle w:val="ListParagraph"/>
        <w:numPr>
          <w:ilvl w:val="0"/>
          <w:numId w:val="1"/>
        </w:numPr>
        <w:rPr>
          <w:sz w:val="24"/>
          <w:szCs w:val="24"/>
        </w:rPr>
      </w:pPr>
      <w:r>
        <w:rPr>
          <w:sz w:val="24"/>
          <w:szCs w:val="24"/>
        </w:rPr>
        <w:t xml:space="preserve">The Foundations for Evidence-Based Policymaking Act </w:t>
      </w:r>
      <w:r w:rsidR="00717466">
        <w:rPr>
          <w:sz w:val="24"/>
          <w:szCs w:val="24"/>
        </w:rPr>
        <w:t xml:space="preserve">(FEPA) </w:t>
      </w:r>
      <w:r w:rsidR="006D2B62">
        <w:rPr>
          <w:sz w:val="24"/>
          <w:szCs w:val="24"/>
        </w:rPr>
        <w:t>(H.R. 4174), which would create a “unified evidence-building plan” for the entire federal government – in essence, a national database containing data from every federal agency on every citizen; and</w:t>
      </w:r>
    </w:p>
    <w:p w14:paraId="0167031D" w14:textId="2B97EC8A" w:rsidR="006D2B62" w:rsidRDefault="006D2B62" w:rsidP="006D2B62">
      <w:pPr>
        <w:pStyle w:val="ListParagraph"/>
        <w:numPr>
          <w:ilvl w:val="0"/>
          <w:numId w:val="1"/>
        </w:numPr>
        <w:rPr>
          <w:sz w:val="24"/>
          <w:szCs w:val="24"/>
        </w:rPr>
      </w:pPr>
      <w:r>
        <w:rPr>
          <w:sz w:val="24"/>
          <w:szCs w:val="24"/>
        </w:rPr>
        <w:t xml:space="preserve">The Student Privacy Protection Act (H.R. 3157), which would amend the Family Educational Rights and Privacy Act (FERPA), 20 USC </w:t>
      </w:r>
      <w:r>
        <w:rPr>
          <w:rFonts w:cstheme="minorHAnsi"/>
          <w:sz w:val="24"/>
          <w:szCs w:val="24"/>
        </w:rPr>
        <w:t>§</w:t>
      </w:r>
      <w:r>
        <w:rPr>
          <w:sz w:val="24"/>
          <w:szCs w:val="24"/>
        </w:rPr>
        <w:t xml:space="preserve"> 1232g</w:t>
      </w:r>
      <w:r w:rsidR="00E356C7">
        <w:rPr>
          <w:sz w:val="24"/>
          <w:szCs w:val="24"/>
        </w:rPr>
        <w:t>,</w:t>
      </w:r>
      <w:r>
        <w:rPr>
          <w:sz w:val="24"/>
          <w:szCs w:val="24"/>
        </w:rPr>
        <w:t xml:space="preserve"> without restoring the FERPA privacy protections that were gutted by regulatory fiat in 2012. </w:t>
      </w:r>
    </w:p>
    <w:p w14:paraId="67EF2841" w14:textId="77777777" w:rsidR="00446AD0" w:rsidRDefault="00313FF9">
      <w:pPr>
        <w:rPr>
          <w:sz w:val="24"/>
          <w:szCs w:val="24"/>
        </w:rPr>
      </w:pPr>
      <w:r>
        <w:rPr>
          <w:sz w:val="24"/>
          <w:szCs w:val="24"/>
        </w:rPr>
        <w:t xml:space="preserve">Special interests that want increased access to highly personal </w:t>
      </w:r>
      <w:r w:rsidR="008126E9">
        <w:rPr>
          <w:sz w:val="24"/>
          <w:szCs w:val="24"/>
        </w:rPr>
        <w:t xml:space="preserve">student </w:t>
      </w:r>
      <w:r>
        <w:rPr>
          <w:sz w:val="24"/>
          <w:szCs w:val="24"/>
        </w:rPr>
        <w:t xml:space="preserve">data for their own benefit </w:t>
      </w:r>
      <w:r w:rsidR="00A405F8">
        <w:rPr>
          <w:sz w:val="24"/>
          <w:szCs w:val="24"/>
        </w:rPr>
        <w:t xml:space="preserve">have mounted a massive lobbying campaign to achieve their goals with respect to each of these bills. </w:t>
      </w:r>
      <w:r w:rsidR="00B345CA">
        <w:rPr>
          <w:sz w:val="24"/>
          <w:szCs w:val="24"/>
        </w:rPr>
        <w:t xml:space="preserve">The bottom line is that bureaucrats </w:t>
      </w:r>
      <w:r w:rsidR="000E7CC3">
        <w:rPr>
          <w:sz w:val="24"/>
          <w:szCs w:val="24"/>
        </w:rPr>
        <w:t xml:space="preserve">in the Administrative State, as well as researchers, </w:t>
      </w:r>
      <w:r w:rsidR="00B345CA">
        <w:rPr>
          <w:sz w:val="24"/>
          <w:szCs w:val="24"/>
        </w:rPr>
        <w:t xml:space="preserve">want </w:t>
      </w:r>
      <w:r w:rsidR="000E7CC3">
        <w:rPr>
          <w:sz w:val="24"/>
          <w:szCs w:val="24"/>
        </w:rPr>
        <w:t xml:space="preserve">a vast trove of data </w:t>
      </w:r>
      <w:r w:rsidR="00CF34CB">
        <w:rPr>
          <w:sz w:val="24"/>
          <w:szCs w:val="24"/>
        </w:rPr>
        <w:t>they can access to examine</w:t>
      </w:r>
      <w:r w:rsidR="00DA2CA2">
        <w:rPr>
          <w:sz w:val="24"/>
          <w:szCs w:val="24"/>
        </w:rPr>
        <w:t xml:space="preserve"> </w:t>
      </w:r>
      <w:r w:rsidR="00B345CA">
        <w:rPr>
          <w:sz w:val="24"/>
          <w:szCs w:val="24"/>
        </w:rPr>
        <w:t>freeborn American citizens as lab rats – without their consent or even their knowledge.</w:t>
      </w:r>
    </w:p>
    <w:p w14:paraId="5CE832B5" w14:textId="77777777" w:rsidR="00717466" w:rsidRDefault="00717466">
      <w:pPr>
        <w:rPr>
          <w:sz w:val="24"/>
          <w:szCs w:val="24"/>
        </w:rPr>
      </w:pPr>
      <w:r>
        <w:rPr>
          <w:sz w:val="24"/>
          <w:szCs w:val="24"/>
        </w:rPr>
        <w:t xml:space="preserve">The attached one-pagers briefly address the most serious problems associated with each of these bills. Applicable to all three discussions </w:t>
      </w:r>
      <w:r w:rsidR="00BA625C">
        <w:rPr>
          <w:sz w:val="24"/>
          <w:szCs w:val="24"/>
        </w:rPr>
        <w:t xml:space="preserve">are two other fundamental problems. The first is that the federal government </w:t>
      </w:r>
      <w:r w:rsidR="000502D1">
        <w:rPr>
          <w:sz w:val="24"/>
          <w:szCs w:val="24"/>
        </w:rPr>
        <w:t>has demonstrated its utter incompetence at protecting the security of individual data</w:t>
      </w:r>
      <w:r w:rsidR="00340154">
        <w:rPr>
          <w:sz w:val="24"/>
          <w:szCs w:val="24"/>
        </w:rPr>
        <w:t xml:space="preserve"> (see </w:t>
      </w:r>
      <w:hyperlink r:id="rId8" w:history="1">
        <w:r w:rsidR="00DA2CA2" w:rsidRPr="00DA2CA2">
          <w:rPr>
            <w:rStyle w:val="Hyperlink"/>
            <w:sz w:val="24"/>
            <w:szCs w:val="24"/>
          </w:rPr>
          <w:t>here</w:t>
        </w:r>
      </w:hyperlink>
      <w:r w:rsidR="00DA2CA2">
        <w:rPr>
          <w:sz w:val="24"/>
          <w:szCs w:val="24"/>
        </w:rPr>
        <w:t xml:space="preserve">, </w:t>
      </w:r>
      <w:hyperlink r:id="rId9" w:history="1">
        <w:r w:rsidR="00340154" w:rsidRPr="00340154">
          <w:rPr>
            <w:rStyle w:val="Hyperlink"/>
            <w:sz w:val="24"/>
            <w:szCs w:val="24"/>
          </w:rPr>
          <w:t>here</w:t>
        </w:r>
      </w:hyperlink>
      <w:r w:rsidR="00340154">
        <w:rPr>
          <w:sz w:val="24"/>
          <w:szCs w:val="24"/>
        </w:rPr>
        <w:t xml:space="preserve">, </w:t>
      </w:r>
      <w:hyperlink r:id="rId10" w:history="1">
        <w:r w:rsidR="00340154" w:rsidRPr="00340154">
          <w:rPr>
            <w:rStyle w:val="Hyperlink"/>
            <w:sz w:val="24"/>
            <w:szCs w:val="24"/>
          </w:rPr>
          <w:t>here</w:t>
        </w:r>
      </w:hyperlink>
      <w:r w:rsidR="00340154">
        <w:rPr>
          <w:sz w:val="24"/>
          <w:szCs w:val="24"/>
        </w:rPr>
        <w:t xml:space="preserve">, and </w:t>
      </w:r>
      <w:hyperlink r:id="rId11" w:history="1">
        <w:r w:rsidR="00340154" w:rsidRPr="00340154">
          <w:rPr>
            <w:rStyle w:val="Hyperlink"/>
            <w:sz w:val="24"/>
            <w:szCs w:val="24"/>
          </w:rPr>
          <w:t>here</w:t>
        </w:r>
      </w:hyperlink>
      <w:r w:rsidR="00340154">
        <w:rPr>
          <w:sz w:val="24"/>
          <w:szCs w:val="24"/>
        </w:rPr>
        <w:t>)</w:t>
      </w:r>
      <w:r w:rsidR="000502D1">
        <w:rPr>
          <w:sz w:val="24"/>
          <w:szCs w:val="24"/>
        </w:rPr>
        <w:t xml:space="preserve">. </w:t>
      </w:r>
      <w:r w:rsidR="00B345CA">
        <w:rPr>
          <w:sz w:val="24"/>
          <w:szCs w:val="24"/>
        </w:rPr>
        <w:t>Expanding the pool of data that will be so enticing to hackers is more than unwise – it’s madness.</w:t>
      </w:r>
    </w:p>
    <w:p w14:paraId="52EE410A" w14:textId="15C0453A" w:rsidR="008F7291" w:rsidRDefault="00BA625C">
      <w:pPr>
        <w:rPr>
          <w:sz w:val="24"/>
          <w:szCs w:val="24"/>
        </w:rPr>
      </w:pPr>
      <w:r>
        <w:rPr>
          <w:sz w:val="24"/>
          <w:szCs w:val="24"/>
        </w:rPr>
        <w:t xml:space="preserve">But the more fundamental problem is this: Even if the data could be maintained with 100% security, and even if </w:t>
      </w:r>
      <w:r w:rsidR="003C5EC2">
        <w:rPr>
          <w:sz w:val="24"/>
          <w:szCs w:val="24"/>
        </w:rPr>
        <w:t xml:space="preserve">students </w:t>
      </w:r>
      <w:r>
        <w:rPr>
          <w:sz w:val="24"/>
          <w:szCs w:val="24"/>
        </w:rPr>
        <w:t xml:space="preserve">could somehow benefit from collection and sharing of </w:t>
      </w:r>
      <w:r w:rsidR="000212C3">
        <w:rPr>
          <w:sz w:val="24"/>
          <w:szCs w:val="24"/>
        </w:rPr>
        <w:t xml:space="preserve">their </w:t>
      </w:r>
      <w:r w:rsidR="00C1012D">
        <w:rPr>
          <w:sz w:val="24"/>
          <w:szCs w:val="24"/>
        </w:rPr>
        <w:t xml:space="preserve">own </w:t>
      </w:r>
      <w:r>
        <w:rPr>
          <w:sz w:val="24"/>
          <w:szCs w:val="24"/>
        </w:rPr>
        <w:t xml:space="preserve">confidential data, there are certain lines a free society should not cross. </w:t>
      </w:r>
      <w:r w:rsidR="00FA1678">
        <w:rPr>
          <w:sz w:val="24"/>
          <w:szCs w:val="24"/>
        </w:rPr>
        <w:t>Increasing the government repository</w:t>
      </w:r>
      <w:r w:rsidR="000E7CC3">
        <w:rPr>
          <w:sz w:val="24"/>
          <w:szCs w:val="24"/>
        </w:rPr>
        <w:t xml:space="preserve"> of highly personal data further entrenches the Administrative State – the Swamp, if you will – which will inevitably use that data to increase its own power. The mere presence of such data with the government </w:t>
      </w:r>
      <w:r>
        <w:rPr>
          <w:sz w:val="24"/>
          <w:szCs w:val="24"/>
        </w:rPr>
        <w:t xml:space="preserve">has an intimidating effect on the citizen, whose freedom of action is necessarily limited by his awareness of government surveillance. This is a feature of </w:t>
      </w:r>
      <w:hyperlink r:id="rId12" w:history="1">
        <w:r w:rsidRPr="00053CCC">
          <w:rPr>
            <w:rStyle w:val="Hyperlink"/>
            <w:sz w:val="24"/>
            <w:szCs w:val="24"/>
          </w:rPr>
          <w:t>totalitarian governments</w:t>
        </w:r>
      </w:hyperlink>
      <w:r>
        <w:rPr>
          <w:sz w:val="24"/>
          <w:szCs w:val="24"/>
        </w:rPr>
        <w:t xml:space="preserve">; it should be anathema in free societies. </w:t>
      </w:r>
    </w:p>
    <w:p w14:paraId="1941FD11" w14:textId="5D24B2DD" w:rsidR="00BA625C" w:rsidRDefault="008F7291">
      <w:pPr>
        <w:rPr>
          <w:sz w:val="24"/>
          <w:szCs w:val="24"/>
        </w:rPr>
      </w:pPr>
      <w:r>
        <w:rPr>
          <w:sz w:val="24"/>
          <w:szCs w:val="24"/>
        </w:rPr>
        <w:t xml:space="preserve">For the sake of American students and parents, we are counting on you to restore and expand FERPA privacy protections and reject the unacceptable intrusions of CTA and FEPA. </w:t>
      </w:r>
    </w:p>
    <w:p w14:paraId="65E7E974" w14:textId="3E4A276C" w:rsidR="002F173B" w:rsidRDefault="006C652F" w:rsidP="00FA390E">
      <w:pPr>
        <w:rPr>
          <w:sz w:val="24"/>
          <w:szCs w:val="24"/>
        </w:rPr>
      </w:pPr>
      <w:r w:rsidRPr="00537F94">
        <w:rPr>
          <w:sz w:val="24"/>
          <w:szCs w:val="24"/>
        </w:rPr>
        <w:t xml:space="preserve">Please click </w:t>
      </w:r>
      <w:hyperlink r:id="rId13" w:history="1">
        <w:r w:rsidRPr="00537F94">
          <w:rPr>
            <w:rStyle w:val="Hyperlink"/>
            <w:sz w:val="24"/>
            <w:szCs w:val="24"/>
          </w:rPr>
          <w:t>here</w:t>
        </w:r>
      </w:hyperlink>
      <w:r w:rsidR="00E35C2E">
        <w:rPr>
          <w:sz w:val="24"/>
          <w:szCs w:val="24"/>
        </w:rPr>
        <w:t xml:space="preserve"> to add your organization as a signatory.</w:t>
      </w:r>
    </w:p>
    <w:p w14:paraId="0B2EA91C" w14:textId="77777777" w:rsidR="00CA2105" w:rsidRDefault="00CA2105" w:rsidP="00CA2105">
      <w:pPr>
        <w:shd w:val="clear" w:color="auto" w:fill="FFFFFF"/>
        <w:spacing w:before="100" w:beforeAutospacing="1" w:after="225" w:line="300" w:lineRule="atLeast"/>
        <w:rPr>
          <w:sz w:val="24"/>
          <w:szCs w:val="24"/>
        </w:rPr>
      </w:pPr>
    </w:p>
    <w:p w14:paraId="45B9BC70" w14:textId="77777777" w:rsidR="00CA2105" w:rsidRDefault="00CA2105" w:rsidP="00CA2105">
      <w:pPr>
        <w:shd w:val="clear" w:color="auto" w:fill="FFFFFF"/>
        <w:spacing w:before="100" w:beforeAutospacing="1" w:after="225" w:line="300" w:lineRule="atLeast"/>
        <w:rPr>
          <w:rFonts w:eastAsia="Times New Roman" w:cstheme="minorHAnsi"/>
          <w:b/>
          <w:sz w:val="24"/>
          <w:szCs w:val="24"/>
        </w:rPr>
        <w:sectPr w:rsidR="00CA2105" w:rsidSect="00CA2105">
          <w:pgSz w:w="12240" w:h="15840"/>
          <w:pgMar w:top="1440" w:right="1440" w:bottom="1440" w:left="1440" w:header="720" w:footer="720" w:gutter="0"/>
          <w:cols w:space="720"/>
          <w:docGrid w:linePitch="360"/>
        </w:sectPr>
      </w:pPr>
    </w:p>
    <w:p w14:paraId="01FA1B5E" w14:textId="77777777" w:rsidR="000229AF" w:rsidRPr="00BC2111" w:rsidRDefault="000229AF" w:rsidP="00CA2105">
      <w:pPr>
        <w:shd w:val="clear" w:color="auto" w:fill="FFFFFF"/>
        <w:spacing w:before="100" w:beforeAutospacing="1" w:after="225" w:line="300" w:lineRule="atLeast"/>
        <w:jc w:val="center"/>
        <w:rPr>
          <w:rFonts w:eastAsia="Times New Roman" w:cstheme="minorHAnsi"/>
          <w:b/>
          <w:sz w:val="16"/>
          <w:szCs w:val="16"/>
        </w:rPr>
      </w:pPr>
    </w:p>
    <w:p w14:paraId="68169D8D" w14:textId="638860E5" w:rsidR="00CA2105" w:rsidRDefault="00CA2105" w:rsidP="00CA2105">
      <w:pPr>
        <w:shd w:val="clear" w:color="auto" w:fill="FFFFFF"/>
        <w:spacing w:before="100" w:beforeAutospacing="1" w:after="225" w:line="300" w:lineRule="atLeast"/>
        <w:jc w:val="center"/>
        <w:rPr>
          <w:rFonts w:eastAsia="Times New Roman" w:cstheme="minorHAnsi"/>
          <w:b/>
          <w:sz w:val="24"/>
          <w:szCs w:val="24"/>
        </w:rPr>
      </w:pPr>
      <w:r>
        <w:rPr>
          <w:noProof/>
        </w:rPr>
        <w:drawing>
          <wp:inline distT="0" distB="0" distL="0" distR="0" wp14:anchorId="67F90AAD" wp14:editId="581B78CC">
            <wp:extent cx="3077845" cy="2060575"/>
            <wp:effectExtent l="0" t="0" r="8255" b="0"/>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4">
                      <a:extLst>
                        <a:ext uri="{28A0092B-C50C-407E-A947-70E740481C1C}">
                          <a14:useLocalDpi xmlns:a14="http://schemas.microsoft.com/office/drawing/2010/main" val="0"/>
                        </a:ext>
                      </a:extLst>
                    </a:blip>
                    <a:srcRect l="124" t="5744"/>
                    <a:stretch/>
                  </pic:blipFill>
                  <pic:spPr bwMode="auto">
                    <a:xfrm>
                      <a:off x="0" y="0"/>
                      <a:ext cx="3077845" cy="206057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inline>
        </w:drawing>
      </w:r>
    </w:p>
    <w:p w14:paraId="0CF4022D" w14:textId="30F5FDCE" w:rsidR="002F173B" w:rsidRPr="00F1605B" w:rsidRDefault="002F173B" w:rsidP="00CA2105">
      <w:pPr>
        <w:shd w:val="clear" w:color="auto" w:fill="FFFFFF"/>
        <w:spacing w:before="100" w:beforeAutospacing="1" w:after="225" w:line="300" w:lineRule="atLeast"/>
        <w:jc w:val="center"/>
        <w:rPr>
          <w:rFonts w:eastAsia="Times New Roman" w:cstheme="minorHAnsi"/>
          <w:b/>
          <w:sz w:val="24"/>
          <w:szCs w:val="24"/>
        </w:rPr>
      </w:pPr>
      <w:r w:rsidRPr="00F1605B">
        <w:rPr>
          <w:rFonts w:eastAsia="Times New Roman" w:cstheme="minorHAnsi"/>
          <w:b/>
          <w:sz w:val="24"/>
          <w:szCs w:val="24"/>
        </w:rPr>
        <w:t>THE COLLEGE TRANSPARENCY ACT MUST BE REJECTED</w:t>
      </w:r>
    </w:p>
    <w:p w14:paraId="08043591" w14:textId="77777777" w:rsidR="002F173B" w:rsidRPr="004D2234" w:rsidRDefault="002F173B" w:rsidP="000C58CE">
      <w:pPr>
        <w:shd w:val="clear" w:color="auto" w:fill="FFFFFF"/>
        <w:spacing w:before="100" w:beforeAutospacing="1" w:after="120" w:line="300" w:lineRule="atLeast"/>
        <w:rPr>
          <w:rFonts w:eastAsia="Times New Roman" w:cstheme="minorHAnsi"/>
        </w:rPr>
      </w:pPr>
      <w:r w:rsidRPr="004D2234">
        <w:rPr>
          <w:rFonts w:eastAsia="Times New Roman" w:cstheme="minorHAnsi"/>
        </w:rPr>
        <w:t>“Transparency” is the new excuse for creating Orwellian tracking and surveillance systems. The federal government first takes over a function for which it has no constitutional authority – such as student loans – and then claims it must gather almost unlimited data on the citizens affected by that program to see how it’s working. The College Transparency Act (CTA) operates in this mold and must be rejected.</w:t>
      </w:r>
    </w:p>
    <w:p w14:paraId="2487BE84" w14:textId="77777777" w:rsidR="002F173B" w:rsidRPr="00201568" w:rsidRDefault="002F173B" w:rsidP="002F173B">
      <w:pPr>
        <w:pStyle w:val="ListParagraph"/>
        <w:numPr>
          <w:ilvl w:val="0"/>
          <w:numId w:val="2"/>
        </w:numPr>
        <w:shd w:val="clear" w:color="auto" w:fill="FFFFFF"/>
        <w:spacing w:before="100" w:beforeAutospacing="1" w:after="225" w:line="300" w:lineRule="atLeast"/>
        <w:rPr>
          <w:rFonts w:eastAsia="Times New Roman" w:cstheme="minorHAnsi"/>
        </w:rPr>
      </w:pPr>
      <w:r w:rsidRPr="004D2234">
        <w:rPr>
          <w:rFonts w:eastAsia="Times New Roman" w:cstheme="minorHAnsi"/>
        </w:rPr>
        <w:t xml:space="preserve">CTA would overturn the Higher Education Act’s ban on a student unit-record system, establishing a federal data system containing </w:t>
      </w:r>
      <w:r>
        <w:rPr>
          <w:rFonts w:eastAsia="Times New Roman" w:cstheme="minorHAnsi"/>
          <w:b/>
          <w:i/>
        </w:rPr>
        <w:t>personally identifiable information (PII)</w:t>
      </w:r>
      <w:r w:rsidRPr="00201568">
        <w:rPr>
          <w:rFonts w:eastAsia="Times New Roman" w:cstheme="minorHAnsi"/>
          <w:b/>
          <w:i/>
        </w:rPr>
        <w:t xml:space="preserve"> </w:t>
      </w:r>
      <w:r w:rsidRPr="00201568">
        <w:rPr>
          <w:rFonts w:eastAsia="Times New Roman" w:cstheme="minorHAnsi"/>
        </w:rPr>
        <w:t xml:space="preserve">about behavior in postsecondary education (enrollment patterns, progression, completion), post-collegiate outcomes (employment and earnings), and financial aid. This means that simply by enrolling in higher education, a student would be submitting – </w:t>
      </w:r>
      <w:r w:rsidRPr="00201568">
        <w:rPr>
          <w:rFonts w:eastAsia="Times New Roman" w:cstheme="minorHAnsi"/>
          <w:b/>
        </w:rPr>
        <w:t>without notice or consent</w:t>
      </w:r>
      <w:r w:rsidRPr="00201568">
        <w:rPr>
          <w:rFonts w:eastAsia="Times New Roman" w:cstheme="minorHAnsi"/>
        </w:rPr>
        <w:t xml:space="preserve"> – to lifetime government tracking of his or her college, career, and financial trajectory.  </w:t>
      </w:r>
    </w:p>
    <w:p w14:paraId="06A48255" w14:textId="77777777" w:rsidR="002F173B" w:rsidRPr="00201568" w:rsidRDefault="002F173B" w:rsidP="002F173B">
      <w:pPr>
        <w:pStyle w:val="ListParagraph"/>
        <w:numPr>
          <w:ilvl w:val="0"/>
          <w:numId w:val="2"/>
        </w:numPr>
        <w:shd w:val="clear" w:color="auto" w:fill="FFFFFF"/>
        <w:spacing w:before="100" w:beforeAutospacing="1" w:after="225" w:line="300" w:lineRule="atLeast"/>
        <w:rPr>
          <w:rFonts w:eastAsia="Times New Roman" w:cstheme="minorHAnsi"/>
        </w:rPr>
      </w:pPr>
      <w:r w:rsidRPr="00201568">
        <w:rPr>
          <w:rFonts w:eastAsia="Times New Roman" w:cstheme="minorHAnsi"/>
        </w:rPr>
        <w:t xml:space="preserve">CTA would require </w:t>
      </w:r>
      <w:r w:rsidRPr="00201568">
        <w:rPr>
          <w:rFonts w:eastAsia="Times New Roman" w:cstheme="minorHAnsi"/>
          <w:b/>
        </w:rPr>
        <w:t xml:space="preserve">sharing of private student data among </w:t>
      </w:r>
      <w:r>
        <w:rPr>
          <w:rFonts w:eastAsia="Times New Roman" w:cstheme="minorHAnsi"/>
          <w:b/>
        </w:rPr>
        <w:t>multiple</w:t>
      </w:r>
      <w:r w:rsidRPr="00201568">
        <w:rPr>
          <w:rFonts w:eastAsia="Times New Roman" w:cstheme="minorHAnsi"/>
          <w:b/>
        </w:rPr>
        <w:t xml:space="preserve"> federal agencies</w:t>
      </w:r>
      <w:r w:rsidRPr="00201568">
        <w:rPr>
          <w:rFonts w:eastAsia="Times New Roman" w:cstheme="minorHAnsi"/>
        </w:rPr>
        <w:t xml:space="preserve">, including the U.S. Department of Education’s Office of Federal Student Aid; the Departments of Treasury, Defense, and Veterans Affairs; the Social Security Administration; and the </w:t>
      </w:r>
      <w:r>
        <w:rPr>
          <w:rFonts w:eastAsia="Times New Roman" w:cstheme="minorHAnsi"/>
        </w:rPr>
        <w:t>Census Bureau</w:t>
      </w:r>
      <w:r w:rsidRPr="00201568">
        <w:rPr>
          <w:rFonts w:eastAsia="Times New Roman" w:cstheme="minorHAnsi"/>
        </w:rPr>
        <w:t>. (</w:t>
      </w:r>
      <w:r>
        <w:rPr>
          <w:rFonts w:eastAsia="Times New Roman" w:cstheme="minorHAnsi"/>
        </w:rPr>
        <w:t>M</w:t>
      </w:r>
      <w:r w:rsidRPr="00201568">
        <w:rPr>
          <w:rFonts w:eastAsia="Times New Roman" w:cstheme="minorHAnsi"/>
        </w:rPr>
        <w:t xml:space="preserve">ore may be added.) </w:t>
      </w:r>
      <w:proofErr w:type="gramStart"/>
      <w:r w:rsidRPr="00201568">
        <w:rPr>
          <w:rFonts w:eastAsia="Times New Roman" w:cstheme="minorHAnsi"/>
        </w:rPr>
        <w:t>So</w:t>
      </w:r>
      <w:proofErr w:type="gramEnd"/>
      <w:r w:rsidRPr="00201568">
        <w:rPr>
          <w:rFonts w:eastAsia="Times New Roman" w:cstheme="minorHAnsi"/>
        </w:rPr>
        <w:t xml:space="preserve"> an individual’s </w:t>
      </w:r>
      <w:r>
        <w:rPr>
          <w:rFonts w:eastAsia="Times New Roman" w:cstheme="minorHAnsi"/>
        </w:rPr>
        <w:t>PII</w:t>
      </w:r>
      <w:r w:rsidRPr="00201568">
        <w:rPr>
          <w:rFonts w:eastAsia="Times New Roman" w:cstheme="minorHAnsi"/>
        </w:rPr>
        <w:t xml:space="preserve"> can be linked to his tax information, his military information, his Social Security records, and everything the Census knows about him. </w:t>
      </w:r>
      <w:r w:rsidRPr="00201568">
        <w:rPr>
          <w:rFonts w:eastAsia="Times New Roman" w:cstheme="minorHAnsi"/>
          <w:b/>
        </w:rPr>
        <w:t>There are no limits on the purposes for which th</w:t>
      </w:r>
      <w:r>
        <w:rPr>
          <w:rFonts w:eastAsia="Times New Roman" w:cstheme="minorHAnsi"/>
          <w:b/>
        </w:rPr>
        <w:t>is data-matching can be used.</w:t>
      </w:r>
      <w:r w:rsidRPr="00201568">
        <w:rPr>
          <w:rFonts w:eastAsia="Times New Roman" w:cstheme="minorHAnsi"/>
        </w:rPr>
        <w:t xml:space="preserve"> </w:t>
      </w:r>
      <w:r>
        <w:rPr>
          <w:rFonts w:eastAsia="Times New Roman" w:cstheme="minorHAnsi"/>
        </w:rPr>
        <w:t xml:space="preserve">The Administrative State will be able to </w:t>
      </w:r>
      <w:r w:rsidRPr="00201568">
        <w:rPr>
          <w:rFonts w:eastAsia="Times New Roman" w:cstheme="minorHAnsi"/>
        </w:rPr>
        <w:t>compil</w:t>
      </w:r>
      <w:r>
        <w:rPr>
          <w:rFonts w:eastAsia="Times New Roman" w:cstheme="minorHAnsi"/>
        </w:rPr>
        <w:t>e</w:t>
      </w:r>
      <w:r w:rsidRPr="00201568">
        <w:rPr>
          <w:rFonts w:eastAsia="Times New Roman" w:cstheme="minorHAnsi"/>
        </w:rPr>
        <w:t xml:space="preserve"> a massive dossier on every American who enrol</w:t>
      </w:r>
      <w:r>
        <w:rPr>
          <w:rFonts w:eastAsia="Times New Roman" w:cstheme="minorHAnsi"/>
        </w:rPr>
        <w:t>ls in college</w:t>
      </w:r>
      <w:r w:rsidRPr="00201568">
        <w:rPr>
          <w:rFonts w:eastAsia="Times New Roman" w:cstheme="minorHAnsi"/>
        </w:rPr>
        <w:t>.</w:t>
      </w:r>
    </w:p>
    <w:p w14:paraId="7028A914" w14:textId="77777777" w:rsidR="002F173B" w:rsidRPr="000C58CE" w:rsidRDefault="002F173B" w:rsidP="002F173B">
      <w:pPr>
        <w:pStyle w:val="ListParagraph"/>
        <w:numPr>
          <w:ilvl w:val="0"/>
          <w:numId w:val="2"/>
        </w:numPr>
        <w:shd w:val="clear" w:color="auto" w:fill="FFFFFF"/>
        <w:spacing w:before="100" w:beforeAutospacing="1" w:after="225" w:line="300" w:lineRule="atLeast"/>
        <w:rPr>
          <w:rFonts w:eastAsia="Times New Roman" w:cstheme="minorHAnsi"/>
        </w:rPr>
      </w:pPr>
      <w:r w:rsidRPr="0026027F">
        <w:rPr>
          <w:rFonts w:eastAsia="Times New Roman" w:cstheme="minorHAnsi"/>
        </w:rPr>
        <w:t xml:space="preserve">Although </w:t>
      </w:r>
      <w:r w:rsidRPr="000C58CE">
        <w:rPr>
          <w:rFonts w:eastAsia="Times New Roman" w:cstheme="minorHAnsi"/>
        </w:rPr>
        <w:t xml:space="preserve">collection of </w:t>
      </w:r>
      <w:r>
        <w:rPr>
          <w:rFonts w:eastAsia="Times New Roman" w:cstheme="minorHAnsi"/>
        </w:rPr>
        <w:t>some sensitive data is currently prohibited</w:t>
      </w:r>
      <w:r w:rsidRPr="0026027F">
        <w:rPr>
          <w:rFonts w:eastAsia="Times New Roman" w:cstheme="minorHAnsi"/>
        </w:rPr>
        <w:t xml:space="preserve">, </w:t>
      </w:r>
      <w:r>
        <w:rPr>
          <w:rFonts w:eastAsia="Times New Roman" w:cstheme="minorHAnsi"/>
        </w:rPr>
        <w:t xml:space="preserve">the Commissioner of Education Statistics is required to periodically review </w:t>
      </w:r>
      <w:r w:rsidRPr="000C58CE">
        <w:rPr>
          <w:rFonts w:eastAsia="Times New Roman" w:cstheme="minorHAnsi"/>
        </w:rPr>
        <w:t>data element</w:t>
      </w:r>
      <w:r>
        <w:rPr>
          <w:rFonts w:eastAsia="Times New Roman" w:cstheme="minorHAnsi"/>
        </w:rPr>
        <w:t xml:space="preserve">s and empowered to add more. </w:t>
      </w:r>
      <w:r w:rsidRPr="000C58CE">
        <w:rPr>
          <w:rFonts w:eastAsia="Times New Roman" w:cstheme="minorHAnsi"/>
        </w:rPr>
        <w:t xml:space="preserve">Also, there is </w:t>
      </w:r>
      <w:r w:rsidRPr="00201568">
        <w:rPr>
          <w:rFonts w:eastAsia="Times New Roman" w:cstheme="minorHAnsi"/>
          <w:b/>
        </w:rPr>
        <w:t>no specific prohibition against the collection of social emotional data</w:t>
      </w:r>
      <w:r w:rsidRPr="0026027F">
        <w:rPr>
          <w:rFonts w:eastAsia="Times New Roman" w:cstheme="minorHAnsi"/>
        </w:rPr>
        <w:t>.</w:t>
      </w:r>
    </w:p>
    <w:p w14:paraId="62EB58ED" w14:textId="77777777" w:rsidR="002F173B" w:rsidRPr="00560F45" w:rsidRDefault="002F173B" w:rsidP="002F173B">
      <w:pPr>
        <w:pStyle w:val="ListParagraph"/>
        <w:numPr>
          <w:ilvl w:val="0"/>
          <w:numId w:val="2"/>
        </w:numPr>
        <w:shd w:val="clear" w:color="auto" w:fill="FFFFFF"/>
        <w:spacing w:before="100" w:beforeAutospacing="1" w:after="225" w:line="300" w:lineRule="atLeast"/>
        <w:rPr>
          <w:rFonts w:eastAsia="Times New Roman" w:cstheme="minorHAnsi"/>
        </w:rPr>
      </w:pPr>
      <w:r w:rsidRPr="00560F45">
        <w:t xml:space="preserve">This federal treasure trove of </w:t>
      </w:r>
      <w:r>
        <w:t>PII</w:t>
      </w:r>
      <w:r w:rsidRPr="00560F45">
        <w:t xml:space="preserve"> would be </w:t>
      </w:r>
      <w:r w:rsidRPr="00560F45">
        <w:rPr>
          <w:b/>
        </w:rPr>
        <w:t>housed in a centralized database and routinely updated, throughout each subject’s life</w:t>
      </w:r>
      <w:r w:rsidRPr="00560F45">
        <w:t>.</w:t>
      </w:r>
    </w:p>
    <w:p w14:paraId="79BF7541" w14:textId="77777777" w:rsidR="002F173B" w:rsidRPr="00560F45" w:rsidRDefault="002F173B" w:rsidP="002F173B">
      <w:pPr>
        <w:pStyle w:val="ListParagraph"/>
        <w:numPr>
          <w:ilvl w:val="0"/>
          <w:numId w:val="2"/>
        </w:numPr>
        <w:shd w:val="clear" w:color="auto" w:fill="FFFFFF"/>
        <w:spacing w:before="100" w:beforeAutospacing="1" w:after="225" w:line="300" w:lineRule="atLeast"/>
        <w:rPr>
          <w:rFonts w:eastAsia="Times New Roman" w:cstheme="minorHAnsi"/>
        </w:rPr>
      </w:pPr>
      <w:r w:rsidRPr="00560F45">
        <w:rPr>
          <w:rFonts w:eastAsia="Times New Roman" w:cstheme="minorHAnsi"/>
          <w:b/>
        </w:rPr>
        <w:t>CTA violates many of the widely accepted Fair Information Practice Principles</w:t>
      </w:r>
      <w:r w:rsidRPr="00560F45">
        <w:rPr>
          <w:rStyle w:val="FootnoteReference"/>
          <w:rFonts w:eastAsia="Times New Roman" w:cstheme="minorHAnsi"/>
          <w:b/>
        </w:rPr>
        <w:footnoteReference w:id="1"/>
      </w:r>
      <w:r w:rsidRPr="00560F45">
        <w:rPr>
          <w:rFonts w:eastAsia="Times New Roman" w:cstheme="minorHAnsi"/>
        </w:rPr>
        <w:t>: It takes data without subjects’ knowledge and consent; it contains no right to opt out, or to inspect or correct the data; it includes no mandate for data-minimization; and it has no limits on data-retention.</w:t>
      </w:r>
    </w:p>
    <w:p w14:paraId="410233CD" w14:textId="77777777" w:rsidR="002F173B" w:rsidRPr="00560F45" w:rsidRDefault="002F173B" w:rsidP="002F173B">
      <w:pPr>
        <w:pStyle w:val="ListParagraph"/>
        <w:numPr>
          <w:ilvl w:val="0"/>
          <w:numId w:val="2"/>
        </w:numPr>
        <w:shd w:val="clear" w:color="auto" w:fill="FFFFFF"/>
        <w:spacing w:before="100" w:beforeAutospacing="1" w:after="225" w:line="300" w:lineRule="atLeast"/>
        <w:rPr>
          <w:rFonts w:eastAsia="Times New Roman" w:cstheme="minorHAnsi"/>
        </w:rPr>
      </w:pPr>
      <w:r w:rsidRPr="00560F45">
        <w:rPr>
          <w:rFonts w:eastAsia="Times New Roman" w:cstheme="minorHAnsi"/>
        </w:rPr>
        <w:t xml:space="preserve">Although CTA requires that data given to researchers be de-identified, </w:t>
      </w:r>
      <w:r>
        <w:rPr>
          <w:rFonts w:eastAsia="Times New Roman" w:cstheme="minorHAnsi"/>
          <w:b/>
        </w:rPr>
        <w:t>re-identification is far too simple</w:t>
      </w:r>
      <w:r>
        <w:rPr>
          <w:rFonts w:eastAsia="Times New Roman" w:cstheme="minorHAnsi"/>
        </w:rPr>
        <w:t xml:space="preserve"> when</w:t>
      </w:r>
      <w:r w:rsidRPr="00560F45">
        <w:rPr>
          <w:rFonts w:eastAsia="Times New Roman" w:cstheme="minorHAnsi"/>
        </w:rPr>
        <w:t xml:space="preserve"> there are so many data points in the system.</w:t>
      </w:r>
      <w:r w:rsidRPr="00560F45">
        <w:rPr>
          <w:rStyle w:val="FootnoteReference"/>
          <w:rFonts w:eastAsia="Times New Roman" w:cstheme="minorHAnsi"/>
        </w:rPr>
        <w:footnoteReference w:id="2"/>
      </w:r>
    </w:p>
    <w:p w14:paraId="0C8A1C9D" w14:textId="77777777" w:rsidR="002F173B" w:rsidRPr="00560F45" w:rsidRDefault="002F173B" w:rsidP="002F173B">
      <w:pPr>
        <w:pStyle w:val="ListParagraph"/>
        <w:numPr>
          <w:ilvl w:val="0"/>
          <w:numId w:val="2"/>
        </w:numPr>
        <w:shd w:val="clear" w:color="auto" w:fill="FFFFFF"/>
        <w:spacing w:before="100" w:beforeAutospacing="1" w:after="225" w:line="300" w:lineRule="atLeast"/>
        <w:rPr>
          <w:rFonts w:eastAsia="Times New Roman" w:cstheme="minorHAnsi"/>
        </w:rPr>
      </w:pPr>
      <w:r w:rsidRPr="00560F45">
        <w:rPr>
          <w:rFonts w:eastAsia="Times New Roman" w:cstheme="minorHAnsi"/>
        </w:rPr>
        <w:t xml:space="preserve">CTA </w:t>
      </w:r>
      <w:r>
        <w:rPr>
          <w:rFonts w:eastAsia="Times New Roman" w:cstheme="minorHAnsi"/>
        </w:rPr>
        <w:t xml:space="preserve">mentions </w:t>
      </w:r>
      <w:r w:rsidRPr="00560F45">
        <w:rPr>
          <w:rFonts w:eastAsia="Times New Roman" w:cstheme="minorHAnsi"/>
        </w:rPr>
        <w:t xml:space="preserve">data security but </w:t>
      </w:r>
      <w:r w:rsidRPr="00560F45">
        <w:rPr>
          <w:rFonts w:eastAsia="Times New Roman" w:cstheme="minorHAnsi"/>
          <w:b/>
        </w:rPr>
        <w:t>requires no security audits, encryption, or protocols for detection and notification of breaches</w:t>
      </w:r>
      <w:r>
        <w:rPr>
          <w:rFonts w:eastAsia="Times New Roman" w:cstheme="minorHAnsi"/>
          <w:b/>
        </w:rPr>
        <w:t xml:space="preserve">. </w:t>
      </w:r>
      <w:r>
        <w:rPr>
          <w:rFonts w:eastAsia="Times New Roman" w:cstheme="minorHAnsi"/>
        </w:rPr>
        <w:t>And federal agencies have been notorious for data breaches.</w:t>
      </w:r>
    </w:p>
    <w:p w14:paraId="288B41C9" w14:textId="186D1B14" w:rsidR="00FA390E" w:rsidRDefault="002F173B" w:rsidP="00FA390E">
      <w:pPr>
        <w:pStyle w:val="ListParagraph"/>
        <w:numPr>
          <w:ilvl w:val="0"/>
          <w:numId w:val="2"/>
        </w:numPr>
        <w:shd w:val="clear" w:color="auto" w:fill="FFFFFF"/>
        <w:spacing w:before="100" w:beforeAutospacing="1" w:after="225" w:line="300" w:lineRule="atLeast"/>
        <w:rPr>
          <w:rFonts w:eastAsia="Times New Roman" w:cstheme="minorHAnsi"/>
        </w:rPr>
      </w:pPr>
      <w:r w:rsidRPr="00560F45">
        <w:rPr>
          <w:rFonts w:eastAsia="Times New Roman" w:cstheme="minorHAnsi"/>
          <w:b/>
        </w:rPr>
        <w:t>CTA is unnecessary</w:t>
      </w:r>
      <w:r w:rsidRPr="00560F45">
        <w:rPr>
          <w:rFonts w:eastAsia="Times New Roman" w:cstheme="minorHAnsi"/>
        </w:rPr>
        <w:t>. Information about postsecondary outcomes can be compiled from student and alumni surveys,</w:t>
      </w:r>
      <w:r w:rsidRPr="00560F45">
        <w:rPr>
          <w:rStyle w:val="FootnoteReference"/>
          <w:rFonts w:eastAsia="Times New Roman" w:cstheme="minorHAnsi"/>
        </w:rPr>
        <w:footnoteReference w:id="3"/>
      </w:r>
      <w:r w:rsidRPr="00560F45">
        <w:rPr>
          <w:rFonts w:eastAsia="Times New Roman" w:cstheme="minorHAnsi"/>
        </w:rPr>
        <w:t xml:space="preserve"> and any legitimate institution of higher education is happy to share its stati</w:t>
      </w:r>
      <w:r>
        <w:rPr>
          <w:rFonts w:eastAsia="Times New Roman" w:cstheme="minorHAnsi"/>
        </w:rPr>
        <w:t>stics with the public.</w:t>
      </w:r>
    </w:p>
    <w:p w14:paraId="483A4A52" w14:textId="77777777" w:rsidR="000229AF" w:rsidRDefault="000229AF" w:rsidP="00CA2105">
      <w:pPr>
        <w:jc w:val="center"/>
        <w:rPr>
          <w:b/>
        </w:rPr>
      </w:pPr>
    </w:p>
    <w:p w14:paraId="5E64D69A" w14:textId="478EB2EA" w:rsidR="000229AF" w:rsidRPr="000229AF" w:rsidRDefault="008C17F4" w:rsidP="000229AF">
      <w:pPr>
        <w:jc w:val="center"/>
        <w:rPr>
          <w:b/>
        </w:rPr>
      </w:pPr>
      <w:r>
        <w:rPr>
          <w:noProof/>
        </w:rPr>
        <w:drawing>
          <wp:inline distT="0" distB="0" distL="0" distR="0" wp14:anchorId="612B472B" wp14:editId="72FC619A">
            <wp:extent cx="2914015" cy="2152650"/>
            <wp:effectExtent l="0" t="0" r="63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2914015" cy="2152650"/>
                    </a:xfrm>
                    <a:prstGeom prst="rect">
                      <a:avLst/>
                    </a:prstGeom>
                  </pic:spPr>
                </pic:pic>
              </a:graphicData>
            </a:graphic>
          </wp:inline>
        </w:drawing>
      </w:r>
    </w:p>
    <w:p w14:paraId="2BF061CB" w14:textId="7F4215F5" w:rsidR="002F173B" w:rsidRPr="00064231" w:rsidRDefault="002F173B" w:rsidP="000229AF">
      <w:pPr>
        <w:jc w:val="center"/>
        <w:rPr>
          <w:b/>
        </w:rPr>
      </w:pPr>
      <w:r w:rsidRPr="00064231">
        <w:rPr>
          <w:b/>
        </w:rPr>
        <w:t xml:space="preserve">THE STUDENT PRIVACY PROTECTION ACT THAT DOESN’T PROTECT </w:t>
      </w:r>
      <w:r>
        <w:rPr>
          <w:b/>
        </w:rPr>
        <w:t xml:space="preserve">STUDENT </w:t>
      </w:r>
      <w:r w:rsidRPr="00064231">
        <w:rPr>
          <w:b/>
        </w:rPr>
        <w:t>PRIVACY</w:t>
      </w:r>
    </w:p>
    <w:p w14:paraId="258ACA92" w14:textId="3D7C58FC" w:rsidR="00FA390E" w:rsidRPr="00064231" w:rsidRDefault="002F173B" w:rsidP="000229AF">
      <w:r w:rsidRPr="00064231">
        <w:t>The Student Privacy Protection Act (H.R. 3157 in the 114</w:t>
      </w:r>
      <w:r w:rsidRPr="00064231">
        <w:rPr>
          <w:vertAlign w:val="superscript"/>
        </w:rPr>
        <w:t>th</w:t>
      </w:r>
      <w:r w:rsidRPr="00064231">
        <w:t xml:space="preserve"> Congress)</w:t>
      </w:r>
      <w:r>
        <w:t xml:space="preserve"> (SPPA)</w:t>
      </w:r>
      <w:r w:rsidRPr="00064231">
        <w:t xml:space="preserve"> is an attempt to update the 1974 Family Educational Rights and Privacy Act (FERPA) and to repair at least some of the damage caused by the 2012 regulatory changes</w:t>
      </w:r>
      <w:r w:rsidRPr="00064231">
        <w:rPr>
          <w:rStyle w:val="FootnoteReference"/>
        </w:rPr>
        <w:footnoteReference w:id="4"/>
      </w:r>
      <w:r w:rsidRPr="00064231">
        <w:t xml:space="preserve"> that </w:t>
      </w:r>
      <w:r>
        <w:t xml:space="preserve">gutted many of FERPA’s protections </w:t>
      </w:r>
      <w:r w:rsidRPr="00064231">
        <w:t>for personally identifiable information (PII)</w:t>
      </w:r>
      <w:r>
        <w:t>,</w:t>
      </w:r>
      <w:r w:rsidRPr="00064231">
        <w:t xml:space="preserve"> in flagrant disregard of congressional intent.</w:t>
      </w:r>
      <w:r w:rsidRPr="00064231">
        <w:rPr>
          <w:rStyle w:val="FootnoteReference"/>
        </w:rPr>
        <w:footnoteReference w:id="5"/>
      </w:r>
      <w:r w:rsidRPr="00064231">
        <w:t xml:space="preserve"> While </w:t>
      </w:r>
      <w:r>
        <w:t xml:space="preserve">SPPA contains </w:t>
      </w:r>
      <w:r w:rsidRPr="00064231">
        <w:t>some positive changes</w:t>
      </w:r>
      <w:r>
        <w:t>, such as</w:t>
      </w:r>
      <w:r w:rsidRPr="00064231">
        <w:t xml:space="preserve"> removing the language allowing data for “predictive testing” and improving data</w:t>
      </w:r>
      <w:r>
        <w:t>-</w:t>
      </w:r>
      <w:r w:rsidRPr="00064231">
        <w:t>security requirements,</w:t>
      </w:r>
      <w:r>
        <w:t xml:space="preserve"> many gaps and other issues remain:</w:t>
      </w:r>
    </w:p>
    <w:p w14:paraId="5DC20887" w14:textId="77777777" w:rsidR="002F173B" w:rsidRDefault="002F173B" w:rsidP="000229AF">
      <w:pPr>
        <w:numPr>
          <w:ilvl w:val="0"/>
          <w:numId w:val="4"/>
        </w:numPr>
        <w:spacing w:after="0" w:line="240" w:lineRule="auto"/>
      </w:pPr>
      <w:r>
        <w:t>SPPA</w:t>
      </w:r>
      <w:r w:rsidRPr="00064231">
        <w:t xml:space="preserve"> does nothing to stop the egregious expansion of </w:t>
      </w:r>
      <w:r>
        <w:t xml:space="preserve">the scope of </w:t>
      </w:r>
      <w:r w:rsidRPr="00064231">
        <w:t xml:space="preserve">data collected on children, especially including social emotional learning (SEL) assessments and surveys that were greatly expanded under </w:t>
      </w:r>
      <w:proofErr w:type="gramStart"/>
      <w:r w:rsidRPr="00064231">
        <w:t>the Every</w:t>
      </w:r>
      <w:proofErr w:type="gramEnd"/>
      <w:r w:rsidRPr="00064231">
        <w:t xml:space="preserve"> Student Succeeds Act (ESSA). </w:t>
      </w:r>
      <w:r>
        <w:t xml:space="preserve">This is because SPPA allows nonconsensual data use </w:t>
      </w:r>
      <w:r w:rsidRPr="00064231">
        <w:t>for audits and evaluations of any federal, state or local education program, including those in ESSA.</w:t>
      </w:r>
    </w:p>
    <w:p w14:paraId="77CE057F" w14:textId="77777777" w:rsidR="002F173B" w:rsidRPr="00064231" w:rsidRDefault="002F173B" w:rsidP="000229AF">
      <w:pPr>
        <w:numPr>
          <w:ilvl w:val="0"/>
          <w:numId w:val="4"/>
        </w:numPr>
        <w:spacing w:after="0" w:line="240" w:lineRule="auto"/>
      </w:pPr>
      <w:r>
        <w:t>Releasing PII without consent is an egregious violation of human research ethics.</w:t>
      </w:r>
      <w:r>
        <w:rPr>
          <w:rStyle w:val="FootnoteReference"/>
        </w:rPr>
        <w:footnoteReference w:id="6"/>
      </w:r>
    </w:p>
    <w:p w14:paraId="35B5CCE7" w14:textId="77777777" w:rsidR="002F173B" w:rsidRPr="00064231" w:rsidRDefault="002F173B" w:rsidP="000229AF">
      <w:pPr>
        <w:numPr>
          <w:ilvl w:val="0"/>
          <w:numId w:val="4"/>
        </w:numPr>
        <w:tabs>
          <w:tab w:val="left" w:pos="-540"/>
        </w:tabs>
        <w:spacing w:after="0" w:line="240" w:lineRule="auto"/>
      </w:pPr>
      <w:r w:rsidRPr="00064231">
        <w:t>The list of exceptions to parental</w:t>
      </w:r>
      <w:r>
        <w:t>-</w:t>
      </w:r>
      <w:r w:rsidRPr="00064231">
        <w:t>consent requirements for researchers and government entiti</w:t>
      </w:r>
      <w:r>
        <w:t xml:space="preserve">es remains disturbingly large, with </w:t>
      </w:r>
      <w:r w:rsidRPr="00064231">
        <w:t>no good definition of “legitimate educational interest</w:t>
      </w:r>
      <w:r>
        <w:t>.”  This allows</w:t>
      </w:r>
      <w:r w:rsidRPr="00064231">
        <w:t xml:space="preserve"> anyone, including corporations and “volunteers” using those magic words</w:t>
      </w:r>
      <w:r>
        <w:t>,</w:t>
      </w:r>
      <w:r w:rsidRPr="00064231">
        <w:t xml:space="preserve"> to </w:t>
      </w:r>
      <w:r>
        <w:t xml:space="preserve">gain </w:t>
      </w:r>
      <w:r w:rsidRPr="00064231">
        <w:t>access to the mother lode of student data without the inconvenience of obtaining parental consent.</w:t>
      </w:r>
    </w:p>
    <w:p w14:paraId="1A8285D3" w14:textId="77777777" w:rsidR="002F173B" w:rsidRPr="00064231" w:rsidRDefault="002F173B" w:rsidP="000229AF">
      <w:pPr>
        <w:numPr>
          <w:ilvl w:val="0"/>
          <w:numId w:val="4"/>
        </w:numPr>
        <w:spacing w:after="0" w:line="240" w:lineRule="auto"/>
      </w:pPr>
      <w:r>
        <w:t xml:space="preserve">SPPA grants </w:t>
      </w:r>
      <w:r w:rsidRPr="00064231">
        <w:t>no private right of action for students and families harmed by misconduct of researchers or corporations that misuse student data or are responsible for data breaches. Penalties for misconduct go to the federal government for “technical assistance” instead of to the aggrieved students and families whose privacy or lives can be and have been seriously harmed by this data free-for-all.</w:t>
      </w:r>
      <w:r w:rsidRPr="00064231">
        <w:rPr>
          <w:rStyle w:val="FootnoteReference"/>
        </w:rPr>
        <w:footnoteReference w:id="7"/>
      </w:r>
    </w:p>
    <w:p w14:paraId="1C54A335" w14:textId="0C213932" w:rsidR="002F173B" w:rsidRPr="00064231" w:rsidRDefault="002F173B" w:rsidP="000229AF">
      <w:pPr>
        <w:numPr>
          <w:ilvl w:val="0"/>
          <w:numId w:val="4"/>
        </w:numPr>
        <w:spacing w:after="0" w:line="240" w:lineRule="auto"/>
      </w:pPr>
      <w:r>
        <w:t xml:space="preserve">Under the American system of limited government, </w:t>
      </w:r>
      <w:r w:rsidR="00FE37B0">
        <w:t>s</w:t>
      </w:r>
      <w:r w:rsidRPr="00064231">
        <w:t xml:space="preserve">tudent privacy and parental consent should </w:t>
      </w:r>
      <w:r w:rsidRPr="002A5F91">
        <w:rPr>
          <w:i/>
        </w:rPr>
        <w:t>always</w:t>
      </w:r>
      <w:r w:rsidRPr="00064231">
        <w:t xml:space="preserve"> be considered pre-eminent over the research desires of the government or private sector, especially in the realm of psychological profiling.</w:t>
      </w:r>
    </w:p>
    <w:p w14:paraId="7605DA87" w14:textId="77777777" w:rsidR="002F173B" w:rsidRPr="00064231" w:rsidRDefault="002F173B" w:rsidP="000229AF">
      <w:pPr>
        <w:numPr>
          <w:ilvl w:val="0"/>
          <w:numId w:val="4"/>
        </w:numPr>
        <w:spacing w:after="0" w:line="240" w:lineRule="auto"/>
      </w:pPr>
      <w:r w:rsidRPr="00064231">
        <w:t>The federal government should not be using any data — and especially SEL data — to “improve learning,” because the federal government has no constitutional authority whatsoever to be involved in education</w:t>
      </w:r>
      <w:r>
        <w:t xml:space="preserve">. </w:t>
      </w:r>
    </w:p>
    <w:p w14:paraId="599D68AC" w14:textId="77777777" w:rsidR="002F173B" w:rsidRPr="00064231" w:rsidRDefault="002F173B" w:rsidP="000229AF">
      <w:pPr>
        <w:numPr>
          <w:ilvl w:val="0"/>
          <w:numId w:val="4"/>
        </w:numPr>
        <w:spacing w:after="0" w:line="240" w:lineRule="auto"/>
      </w:pPr>
      <w:r w:rsidRPr="00064231">
        <w:t xml:space="preserve">There is no need for </w:t>
      </w:r>
      <w:r>
        <w:t>continued</w:t>
      </w:r>
      <w:r w:rsidRPr="00064231">
        <w:t xml:space="preserve"> data collection and invasion of privacy, because the research is already conclusive that federal education programs “protected” by FERPA are disastrously ineffective. This is true of ESEA, Race to the Top/Common Core, Investing in Innovation, Head Start, and home visiting, to name just a few.</w:t>
      </w:r>
      <w:r>
        <w:rPr>
          <w:rStyle w:val="FootnoteReference"/>
        </w:rPr>
        <w:footnoteReference w:id="8"/>
      </w:r>
      <w:r>
        <w:t xml:space="preserve"> Federal involvement in education has been a disaster, and no amount of data will overcome institutional incompetence.</w:t>
      </w:r>
    </w:p>
    <w:p w14:paraId="06C5839A" w14:textId="77777777" w:rsidR="002F173B" w:rsidRDefault="002F173B" w:rsidP="000229AF"/>
    <w:p w14:paraId="62565ABF" w14:textId="77777777" w:rsidR="002F173B" w:rsidRPr="00944BB0" w:rsidRDefault="002F173B" w:rsidP="000229AF">
      <w:r>
        <w:t xml:space="preserve"> </w:t>
      </w:r>
    </w:p>
    <w:p w14:paraId="5335BD7A" w14:textId="3EE80173" w:rsidR="008C17F4" w:rsidRDefault="008C17F4" w:rsidP="000229AF">
      <w:pPr>
        <w:jc w:val="center"/>
      </w:pPr>
      <w:r>
        <w:rPr>
          <w:noProof/>
        </w:rPr>
        <w:lastRenderedPageBreak/>
        <w:drawing>
          <wp:inline distT="0" distB="0" distL="0" distR="0" wp14:anchorId="390C4DE6" wp14:editId="75CB9012">
            <wp:extent cx="2428240" cy="1514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46698" cy="1525987"/>
                    </a:xfrm>
                    <a:prstGeom prst="rect">
                      <a:avLst/>
                    </a:prstGeom>
                    <a:noFill/>
                    <a:ln>
                      <a:noFill/>
                    </a:ln>
                  </pic:spPr>
                </pic:pic>
              </a:graphicData>
            </a:graphic>
          </wp:inline>
        </w:drawing>
      </w:r>
    </w:p>
    <w:p w14:paraId="18905C6C" w14:textId="26238917" w:rsidR="008C17F4" w:rsidRDefault="008C17F4" w:rsidP="000229AF">
      <w:pPr>
        <w:jc w:val="center"/>
        <w:rPr>
          <w:b/>
        </w:rPr>
      </w:pPr>
      <w:r>
        <w:rPr>
          <w:b/>
        </w:rPr>
        <w:t>THE FOUNDATIONS FOR EVIDENCE-BASED POLICYMAKING ACT WILL LEAD TO A NATIONAL DATABASE</w:t>
      </w:r>
    </w:p>
    <w:p w14:paraId="7A571F23" w14:textId="77777777" w:rsidR="008C17F4" w:rsidRDefault="008C17F4" w:rsidP="000229AF">
      <w:r>
        <w:t>HR 4174/S 2046,</w:t>
      </w:r>
      <w:r>
        <w:rPr>
          <w:rStyle w:val="FootnoteReference"/>
        </w:rPr>
        <w:footnoteReference w:id="9"/>
      </w:r>
      <w:r>
        <w:t xml:space="preserve"> the Foundations for Evidence-Based Policymaking Act (FEPA), introduced by House Speaker Paul Ryan and Senator Patty Murray, is another federal bill that will </w:t>
      </w:r>
      <w:r>
        <w:rPr>
          <w:b/>
        </w:rPr>
        <w:t>increase 1) the non-consensual surveillance of free-born American citizens, and 2) the probability of a comprehensive national database on every American</w:t>
      </w:r>
      <w:r>
        <w:t>. This legislation responds to the report</w:t>
      </w:r>
      <w:r>
        <w:rPr>
          <w:rStyle w:val="FootnoteReference"/>
        </w:rPr>
        <w:footnoteReference w:id="10"/>
      </w:r>
      <w:r>
        <w:t xml:space="preserve"> by the Commission on Evidence-Based Policymaking (CEP),</w:t>
      </w:r>
      <w:r>
        <w:rPr>
          <w:rStyle w:val="FootnoteReference"/>
        </w:rPr>
        <w:footnoteReference w:id="11"/>
      </w:r>
      <w:r>
        <w:t xml:space="preserve"> an entity created by FEPA’s authors. The justification is to monitor the effectiveness of federal programs, but deep problems with the bill outweigh any possible benefits:</w:t>
      </w:r>
    </w:p>
    <w:p w14:paraId="5191E7E5" w14:textId="77777777" w:rsidR="008C17F4" w:rsidRPr="008C17F4" w:rsidRDefault="008C17F4" w:rsidP="000229AF">
      <w:pPr>
        <w:pStyle w:val="ListParagraph"/>
        <w:numPr>
          <w:ilvl w:val="0"/>
          <w:numId w:val="6"/>
        </w:numPr>
        <w:rPr>
          <w:b/>
        </w:rPr>
      </w:pPr>
      <w:r>
        <w:t xml:space="preserve">FEPA mandates that every federal agency create an “evidence building” (data-mining) plan that must include “a list of . . . questions for which the agency intends to develop evidence to support policymaking” and “a list of data the agency intends to collect, use, or acquire to facilitate the use of evidence in policymaking.” </w:t>
      </w:r>
      <w:r w:rsidRPr="008C17F4">
        <w:rPr>
          <w:b/>
        </w:rPr>
        <w:t>This would allow any bureaucrats to propose to collect any data on any citizen on any topic they want, to answer their desired policy questions.</w:t>
      </w:r>
    </w:p>
    <w:p w14:paraId="70EE5D92" w14:textId="77777777" w:rsidR="008C17F4" w:rsidRDefault="008C17F4" w:rsidP="000229AF">
      <w:pPr>
        <w:pStyle w:val="ListParagraph"/>
        <w:numPr>
          <w:ilvl w:val="0"/>
          <w:numId w:val="6"/>
        </w:numPr>
      </w:pPr>
      <w:r>
        <w:t xml:space="preserve">Each agency is also directed to create “…a list of any challenges” to this goal, including “any statutory or other restrictions to accessing relevant data.” This responds to </w:t>
      </w:r>
      <w:r w:rsidRPr="008C17F4">
        <w:rPr>
          <w:b/>
        </w:rPr>
        <w:t>CEP’s recommendation that “Congress and the President should consider repealing current bans and limiting future bans on the collection and use of data for evidence building.” </w:t>
      </w:r>
      <w:r>
        <w:t xml:space="preserve"> This recommendation presumably covers the student unit-record prohibition</w:t>
      </w:r>
      <w:r>
        <w:rPr>
          <w:rStyle w:val="FootnoteReference"/>
        </w:rPr>
        <w:footnoteReference w:id="12"/>
      </w:r>
      <w:r>
        <w:t xml:space="preserve"> and the prohibition</w:t>
      </w:r>
      <w:r>
        <w:rPr>
          <w:rStyle w:val="FootnoteReference"/>
        </w:rPr>
        <w:footnoteReference w:id="13"/>
      </w:r>
      <w:r>
        <w:t xml:space="preserve"> on creating a national K-12 student database.</w:t>
      </w:r>
      <w:r>
        <w:rPr>
          <w:rStyle w:val="FootnoteReference"/>
        </w:rPr>
        <w:footnoteReference w:id="14"/>
      </w:r>
    </w:p>
    <w:p w14:paraId="342378C1" w14:textId="5CB0425A" w:rsidR="008C17F4" w:rsidRDefault="008C17F4" w:rsidP="000229AF">
      <w:pPr>
        <w:pStyle w:val="ListParagraph"/>
        <w:numPr>
          <w:ilvl w:val="0"/>
          <w:numId w:val="6"/>
        </w:numPr>
      </w:pPr>
      <w:r>
        <w:t xml:space="preserve">The Director of the Office of Management and Budget must then use all these evidence-building (data-mining) plans to </w:t>
      </w:r>
      <w:r w:rsidRPr="008C17F4">
        <w:rPr>
          <w:b/>
        </w:rPr>
        <w:t>develop “a unified evidence-building plan” for the entire federal government.</w:t>
      </w:r>
      <w:r>
        <w:t xml:space="preserve"> Although the public must be “consulted,” and lip service is paid to issues of privacy and confidentiality of data, these are only items to be considered. </w:t>
      </w:r>
      <w:r w:rsidRPr="008C17F4">
        <w:rPr>
          <w:b/>
        </w:rPr>
        <w:t>There are no actual prohibitions on proceeding with data collection, regardless of the sensitivity of the data.</w:t>
      </w:r>
    </w:p>
    <w:p w14:paraId="2EDA0220" w14:textId="3126AF65" w:rsidR="008C17F4" w:rsidRDefault="008C17F4" w:rsidP="000229AF">
      <w:pPr>
        <w:pStyle w:val="ListParagraph"/>
        <w:numPr>
          <w:ilvl w:val="0"/>
          <w:numId w:val="6"/>
        </w:numPr>
      </w:pPr>
      <w:r w:rsidRPr="008C17F4">
        <w:rPr>
          <w:b/>
        </w:rPr>
        <w:t xml:space="preserve">The federal government is demonstrably incompetent at data security; </w:t>
      </w:r>
      <w:r>
        <w:t xml:space="preserve">moreover, </w:t>
      </w:r>
      <w:r w:rsidRPr="008C17F4">
        <w:rPr>
          <w:b/>
        </w:rPr>
        <w:t>the government routinely ignores the overwhelming data it already has that shows the ineffectiveness of many (most) federal programs.</w:t>
      </w:r>
      <w:r>
        <w:rPr>
          <w:rStyle w:val="FootnoteReference"/>
          <w:b/>
        </w:rPr>
        <w:footnoteReference w:id="15"/>
      </w:r>
      <w:r w:rsidRPr="008C17F4">
        <w:rPr>
          <w:b/>
        </w:rPr>
        <w:t xml:space="preserve"> </w:t>
      </w:r>
      <w:r>
        <w:t xml:space="preserve">There is no reason to believe an even more enormous trove of data can be secured, or that it will </w:t>
      </w:r>
      <w:proofErr w:type="gramStart"/>
      <w:r>
        <w:t>actually change</w:t>
      </w:r>
      <w:proofErr w:type="gramEnd"/>
      <w:r>
        <w:t xml:space="preserve"> government behavior in any meaningful way.  </w:t>
      </w:r>
    </w:p>
    <w:p w14:paraId="4CC5EF08" w14:textId="77777777" w:rsidR="00CA2105" w:rsidRDefault="008C17F4" w:rsidP="000229AF">
      <w:pPr>
        <w:pStyle w:val="ListParagraph"/>
        <w:numPr>
          <w:ilvl w:val="0"/>
          <w:numId w:val="6"/>
        </w:numPr>
        <w:spacing w:after="0" w:line="240" w:lineRule="auto"/>
        <w:rPr>
          <w:b/>
        </w:rPr>
      </w:pPr>
      <w:r>
        <w:t>Most importantly</w:t>
      </w:r>
      <w:r w:rsidRPr="008C17F4">
        <w:rPr>
          <w:b/>
        </w:rPr>
        <w:t xml:space="preserve">, collecting and holding massive amounts of data about an individual has an intimidating effect on the individual—even if the data is never used. </w:t>
      </w:r>
      <w:r>
        <w:t xml:space="preserve">This fundamentally changes the relationship between the individual and government. </w:t>
      </w:r>
      <w:r w:rsidRPr="008C17F4">
        <w:rPr>
          <w:b/>
        </w:rPr>
        <w:t>Citizen direction of government cannot happen when government sits in a position of intimidation of the individual.</w:t>
      </w:r>
      <w:r>
        <w:rPr>
          <w:rStyle w:val="FootnoteReference"/>
          <w:b/>
        </w:rPr>
        <w:footnoteReference w:id="16"/>
      </w:r>
    </w:p>
    <w:p w14:paraId="77EEE17A" w14:textId="77777777" w:rsidR="00CA2105" w:rsidRDefault="00CA2105" w:rsidP="000229AF">
      <w:pPr>
        <w:spacing w:after="0" w:line="240" w:lineRule="auto"/>
        <w:ind w:left="360"/>
      </w:pPr>
    </w:p>
    <w:p w14:paraId="1060DC53" w14:textId="462906A4" w:rsidR="009057E4" w:rsidRPr="000229AF" w:rsidRDefault="008C17F4" w:rsidP="000229AF">
      <w:pPr>
        <w:spacing w:after="0" w:line="240" w:lineRule="auto"/>
        <w:ind w:left="360"/>
        <w:rPr>
          <w:b/>
        </w:rPr>
      </w:pPr>
      <w:r>
        <w:t>A bill like FEPA would be expected from a totalitarian government.</w:t>
      </w:r>
      <w:r>
        <w:rPr>
          <w:rStyle w:val="FootnoteReference"/>
        </w:rPr>
        <w:footnoteReference w:id="17"/>
      </w:r>
      <w:r>
        <w:t xml:space="preserve"> Congress should solve the “program effectiveness” problem by returning to the Founders’ vision and drastically reducing government’s bloated size and scope. This solution would obviate the need for the Orwellian surveillance scheme initiated by FEPA.</w:t>
      </w:r>
    </w:p>
    <w:sectPr w:rsidR="009057E4" w:rsidRPr="000229AF" w:rsidSect="00CA2105">
      <w:pgSz w:w="12240" w:h="15840"/>
      <w:pgMar w:top="360" w:right="360" w:bottom="360" w:left="5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C4A96" w14:textId="77777777" w:rsidR="0051137B" w:rsidRDefault="0051137B" w:rsidP="002F173B">
      <w:pPr>
        <w:spacing w:after="0" w:line="240" w:lineRule="auto"/>
      </w:pPr>
      <w:r>
        <w:separator/>
      </w:r>
    </w:p>
  </w:endnote>
  <w:endnote w:type="continuationSeparator" w:id="0">
    <w:p w14:paraId="62472005" w14:textId="77777777" w:rsidR="0051137B" w:rsidRDefault="0051137B" w:rsidP="002F1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7282D" w14:textId="77777777" w:rsidR="0051137B" w:rsidRDefault="0051137B" w:rsidP="002F173B">
      <w:pPr>
        <w:spacing w:after="0" w:line="240" w:lineRule="auto"/>
      </w:pPr>
      <w:r>
        <w:separator/>
      </w:r>
    </w:p>
  </w:footnote>
  <w:footnote w:type="continuationSeparator" w:id="0">
    <w:p w14:paraId="31492BCB" w14:textId="77777777" w:rsidR="0051137B" w:rsidRDefault="0051137B" w:rsidP="002F173B">
      <w:pPr>
        <w:spacing w:after="0" w:line="240" w:lineRule="auto"/>
      </w:pPr>
      <w:r>
        <w:continuationSeparator/>
      </w:r>
    </w:p>
  </w:footnote>
  <w:footnote w:id="1">
    <w:p w14:paraId="280187DB" w14:textId="77777777" w:rsidR="002F173B" w:rsidRPr="004D2234" w:rsidRDefault="002F173B">
      <w:pPr>
        <w:pStyle w:val="FootnoteText"/>
        <w:rPr>
          <w:sz w:val="18"/>
          <w:szCs w:val="18"/>
        </w:rPr>
      </w:pPr>
      <w:r w:rsidRPr="004D2234">
        <w:rPr>
          <w:rStyle w:val="FootnoteReference"/>
        </w:rPr>
        <w:footnoteRef/>
      </w:r>
      <w:r w:rsidRPr="004D2234">
        <w:rPr>
          <w:sz w:val="18"/>
          <w:szCs w:val="18"/>
        </w:rPr>
        <w:t xml:space="preserve"> </w:t>
      </w:r>
      <w:r w:rsidRPr="004D2234">
        <w:rPr>
          <w:i/>
          <w:sz w:val="18"/>
          <w:szCs w:val="18"/>
        </w:rPr>
        <w:t>See</w:t>
      </w:r>
      <w:r w:rsidRPr="004D2234">
        <w:rPr>
          <w:sz w:val="18"/>
          <w:szCs w:val="18"/>
        </w:rPr>
        <w:t xml:space="preserve"> </w:t>
      </w:r>
      <w:hyperlink r:id="rId1" w:history="1">
        <w:r w:rsidRPr="004D2234">
          <w:rPr>
            <w:rStyle w:val="Hyperlink"/>
            <w:sz w:val="18"/>
            <w:szCs w:val="18"/>
          </w:rPr>
          <w:t>http://www.lawpublish.com/ftc-fair-information-practice-principles.html</w:t>
        </w:r>
      </w:hyperlink>
      <w:r w:rsidRPr="004D2234">
        <w:rPr>
          <w:sz w:val="18"/>
          <w:szCs w:val="18"/>
        </w:rPr>
        <w:t xml:space="preserve">. </w:t>
      </w:r>
    </w:p>
  </w:footnote>
  <w:footnote w:id="2">
    <w:p w14:paraId="5DC5A995" w14:textId="77777777" w:rsidR="002F173B" w:rsidRPr="004D2234" w:rsidRDefault="002F173B">
      <w:pPr>
        <w:pStyle w:val="FootnoteText"/>
        <w:rPr>
          <w:sz w:val="18"/>
          <w:szCs w:val="18"/>
        </w:rPr>
      </w:pPr>
      <w:r w:rsidRPr="004D2234">
        <w:rPr>
          <w:rStyle w:val="FootnoteReference"/>
        </w:rPr>
        <w:footnoteRef/>
      </w:r>
      <w:r w:rsidRPr="004D2234">
        <w:rPr>
          <w:sz w:val="18"/>
          <w:szCs w:val="18"/>
        </w:rPr>
        <w:t xml:space="preserve"> </w:t>
      </w:r>
      <w:r w:rsidRPr="004D2234">
        <w:rPr>
          <w:i/>
          <w:sz w:val="18"/>
          <w:szCs w:val="18"/>
        </w:rPr>
        <w:t xml:space="preserve">See </w:t>
      </w:r>
      <w:hyperlink r:id="rId2" w:history="1">
        <w:r w:rsidRPr="004D2234">
          <w:rPr>
            <w:rStyle w:val="Hyperlink"/>
            <w:sz w:val="18"/>
            <w:szCs w:val="18"/>
          </w:rPr>
          <w:t>https://www.wired.com/2012/06/wmw-arvind-narayanan/</w:t>
        </w:r>
      </w:hyperlink>
      <w:r w:rsidRPr="004D2234">
        <w:rPr>
          <w:sz w:val="18"/>
          <w:szCs w:val="18"/>
        </w:rPr>
        <w:t xml:space="preserve">. </w:t>
      </w:r>
    </w:p>
  </w:footnote>
  <w:footnote w:id="3">
    <w:p w14:paraId="0307AED8" w14:textId="77777777" w:rsidR="002F173B" w:rsidRPr="00CA6EA3" w:rsidRDefault="002F173B">
      <w:pPr>
        <w:pStyle w:val="FootnoteText"/>
      </w:pPr>
      <w:r w:rsidRPr="004D2234">
        <w:rPr>
          <w:rStyle w:val="FootnoteReference"/>
        </w:rPr>
        <w:footnoteRef/>
      </w:r>
      <w:r w:rsidRPr="004D2234">
        <w:rPr>
          <w:sz w:val="18"/>
          <w:szCs w:val="18"/>
        </w:rPr>
        <w:t xml:space="preserve"> </w:t>
      </w:r>
      <w:r w:rsidRPr="004D2234">
        <w:rPr>
          <w:i/>
          <w:sz w:val="18"/>
          <w:szCs w:val="18"/>
        </w:rPr>
        <w:t>See</w:t>
      </w:r>
      <w:r w:rsidRPr="004D2234">
        <w:rPr>
          <w:sz w:val="18"/>
          <w:szCs w:val="18"/>
        </w:rPr>
        <w:t xml:space="preserve"> </w:t>
      </w:r>
      <w:hyperlink r:id="rId3" w:history="1">
        <w:r w:rsidRPr="004D2234">
          <w:rPr>
            <w:rStyle w:val="Hyperlink"/>
            <w:sz w:val="18"/>
            <w:szCs w:val="18"/>
          </w:rPr>
          <w:t>https://www.insidehighered.com/news/2017/10/12/new-federal-higher-ed-outcome-measures-count-part-time-adult-students</w:t>
        </w:r>
      </w:hyperlink>
      <w:r>
        <w:t xml:space="preserve">. </w:t>
      </w:r>
    </w:p>
  </w:footnote>
  <w:footnote w:id="4">
    <w:p w14:paraId="7D0A19C5" w14:textId="77777777" w:rsidR="002F173B" w:rsidRPr="00280753" w:rsidRDefault="002F173B">
      <w:pPr>
        <w:pStyle w:val="FootnoteText"/>
      </w:pPr>
      <w:r w:rsidRPr="00280753">
        <w:rPr>
          <w:rStyle w:val="FootnoteReference"/>
        </w:rPr>
        <w:footnoteRef/>
      </w:r>
      <w:r w:rsidRPr="00280753">
        <w:t xml:space="preserve"> </w:t>
      </w:r>
      <w:hyperlink r:id="rId4" w:history="1">
        <w:r w:rsidRPr="00FC31E2">
          <w:rPr>
            <w:rStyle w:val="Hyperlink"/>
          </w:rPr>
          <w:t>https://www.gpo.gov/fdsys/pkg/FR-2011-12-02/pdf/2011-30683.pdf</w:t>
        </w:r>
      </w:hyperlink>
      <w:r>
        <w:t xml:space="preserve"> </w:t>
      </w:r>
    </w:p>
  </w:footnote>
  <w:footnote w:id="5">
    <w:p w14:paraId="078B9FCB" w14:textId="77777777" w:rsidR="002F173B" w:rsidRPr="00280753" w:rsidRDefault="002F173B">
      <w:pPr>
        <w:pStyle w:val="FootnoteText"/>
      </w:pPr>
      <w:r w:rsidRPr="00280753">
        <w:rPr>
          <w:rStyle w:val="FootnoteReference"/>
        </w:rPr>
        <w:footnoteRef/>
      </w:r>
      <w:r w:rsidRPr="00280753">
        <w:t xml:space="preserve"> </w:t>
      </w:r>
      <w:hyperlink r:id="rId5" w:history="1">
        <w:r w:rsidRPr="00FC31E2">
          <w:rPr>
            <w:rStyle w:val="Hyperlink"/>
          </w:rPr>
          <w:t>https://epic.org/privacy/student/EPIC_FERPA_Comments.pdf</w:t>
        </w:r>
      </w:hyperlink>
      <w:r>
        <w:t xml:space="preserve"> </w:t>
      </w:r>
    </w:p>
  </w:footnote>
  <w:footnote w:id="6">
    <w:p w14:paraId="127DE0BA" w14:textId="77777777" w:rsidR="002F173B" w:rsidRPr="00B122D0" w:rsidRDefault="002F173B">
      <w:pPr>
        <w:pStyle w:val="FootnoteText"/>
      </w:pPr>
      <w:r w:rsidRPr="00B122D0">
        <w:rPr>
          <w:rStyle w:val="FootnoteReference"/>
        </w:rPr>
        <w:footnoteRef/>
      </w:r>
      <w:r w:rsidRPr="00B122D0">
        <w:t xml:space="preserve"> </w:t>
      </w:r>
      <w:hyperlink r:id="rId6" w:history="1">
        <w:r w:rsidRPr="00FC31E2">
          <w:rPr>
            <w:rStyle w:val="Hyperlink"/>
          </w:rPr>
          <w:t>https://epic.org/apa/ferpa/Public%20Comments%20Pt.%203.pdf</w:t>
        </w:r>
      </w:hyperlink>
      <w:r>
        <w:t xml:space="preserve"> - See page 4</w:t>
      </w:r>
    </w:p>
  </w:footnote>
  <w:footnote w:id="7">
    <w:p w14:paraId="0222F8F8" w14:textId="77777777" w:rsidR="002F173B" w:rsidRPr="00280753" w:rsidRDefault="002F173B">
      <w:pPr>
        <w:pStyle w:val="FootnoteText"/>
      </w:pPr>
      <w:r w:rsidRPr="00280753">
        <w:rPr>
          <w:rStyle w:val="FootnoteReference"/>
        </w:rPr>
        <w:footnoteRef/>
      </w:r>
      <w:r w:rsidRPr="00280753">
        <w:t xml:space="preserve"> </w:t>
      </w:r>
      <w:hyperlink r:id="rId7" w:history="1">
        <w:r w:rsidRPr="00FC31E2">
          <w:rPr>
            <w:rStyle w:val="Hyperlink"/>
          </w:rPr>
          <w:t>https://edworkforce.house.gov/UploadedFiles/Rachael_Stickland_Written_Testimony_-_FINAL.pdf</w:t>
        </w:r>
      </w:hyperlink>
      <w:r>
        <w:t xml:space="preserve"> </w:t>
      </w:r>
    </w:p>
  </w:footnote>
  <w:footnote w:id="8">
    <w:p w14:paraId="12B5FAD1" w14:textId="77777777" w:rsidR="002F173B" w:rsidRPr="00B122D0" w:rsidRDefault="002F173B">
      <w:pPr>
        <w:pStyle w:val="FootnoteText"/>
      </w:pPr>
      <w:r w:rsidRPr="00B122D0">
        <w:rPr>
          <w:rStyle w:val="FootnoteReference"/>
        </w:rPr>
        <w:footnoteRef/>
      </w:r>
      <w:r w:rsidRPr="00B122D0">
        <w:t xml:space="preserve"> </w:t>
      </w:r>
      <w:r>
        <w:t xml:space="preserve">References for these claims are compiled at: </w:t>
      </w:r>
      <w:hyperlink r:id="rId8" w:history="1">
        <w:r w:rsidRPr="00FC31E2">
          <w:rPr>
            <w:rStyle w:val="Hyperlink"/>
          </w:rPr>
          <w:t>http://edlibertywatch.org/wp-content/uploads/2017/07/Final-Letter-to-Committee-chairs-7-17-.pdf</w:t>
        </w:r>
      </w:hyperlink>
      <w:r>
        <w:t xml:space="preserve"> </w:t>
      </w:r>
    </w:p>
  </w:footnote>
  <w:footnote w:id="9">
    <w:p w14:paraId="13E82CC3" w14:textId="77777777" w:rsidR="008C17F4" w:rsidRDefault="008C17F4" w:rsidP="008C17F4">
      <w:pPr>
        <w:pStyle w:val="FootnoteText"/>
      </w:pPr>
      <w:r>
        <w:rPr>
          <w:rStyle w:val="FootnoteReference"/>
        </w:rPr>
        <w:footnoteRef/>
      </w:r>
      <w:r>
        <w:t xml:space="preserve"> </w:t>
      </w:r>
      <w:hyperlink r:id="rId9" w:history="1">
        <w:r>
          <w:rPr>
            <w:rStyle w:val="Hyperlink"/>
          </w:rPr>
          <w:t>http://bit.ly/2ynay2e</w:t>
        </w:r>
      </w:hyperlink>
      <w:r>
        <w:t xml:space="preserve"> </w:t>
      </w:r>
    </w:p>
  </w:footnote>
  <w:footnote w:id="10">
    <w:p w14:paraId="4D09F9A0" w14:textId="77777777" w:rsidR="008C17F4" w:rsidRDefault="008C17F4" w:rsidP="008C17F4">
      <w:pPr>
        <w:pStyle w:val="FootnoteText"/>
      </w:pPr>
      <w:r>
        <w:rPr>
          <w:rStyle w:val="FootnoteReference"/>
        </w:rPr>
        <w:footnoteRef/>
      </w:r>
      <w:r>
        <w:t xml:space="preserve"> </w:t>
      </w:r>
      <w:hyperlink r:id="rId10" w:history="1">
        <w:r>
          <w:rPr>
            <w:rStyle w:val="Hyperlink"/>
          </w:rPr>
          <w:t>https://www.cep.gov/cep-final-report.html</w:t>
        </w:r>
      </w:hyperlink>
      <w:r>
        <w:t xml:space="preserve"> </w:t>
      </w:r>
    </w:p>
  </w:footnote>
  <w:footnote w:id="11">
    <w:p w14:paraId="12BA3F3A" w14:textId="77777777" w:rsidR="008C17F4" w:rsidRDefault="008C17F4" w:rsidP="008C17F4">
      <w:pPr>
        <w:pStyle w:val="FootnoteText"/>
      </w:pPr>
      <w:r>
        <w:rPr>
          <w:rStyle w:val="FootnoteReference"/>
        </w:rPr>
        <w:footnoteRef/>
      </w:r>
      <w:r>
        <w:t xml:space="preserve"> </w:t>
      </w:r>
      <w:hyperlink r:id="rId11" w:history="1">
        <w:r>
          <w:rPr>
            <w:rStyle w:val="Hyperlink"/>
          </w:rPr>
          <w:t>https://www.cep.gov</w:t>
        </w:r>
      </w:hyperlink>
      <w:r>
        <w:t xml:space="preserve"> </w:t>
      </w:r>
    </w:p>
  </w:footnote>
  <w:footnote w:id="12">
    <w:p w14:paraId="0E184E38" w14:textId="77777777" w:rsidR="008C17F4" w:rsidRDefault="008C17F4" w:rsidP="008C17F4">
      <w:pPr>
        <w:pStyle w:val="FootnoteText"/>
      </w:pPr>
      <w:r>
        <w:rPr>
          <w:rStyle w:val="FootnoteReference"/>
        </w:rPr>
        <w:footnoteRef/>
      </w:r>
      <w:r>
        <w:t xml:space="preserve"> </w:t>
      </w:r>
      <w:hyperlink r:id="rId12" w:history="1">
        <w:r>
          <w:rPr>
            <w:rStyle w:val="Hyperlink"/>
          </w:rPr>
          <w:t>https://thenationalpulse.com/commentary/congressman-wants-more-federal-data-mining-parents-fooled/</w:t>
        </w:r>
      </w:hyperlink>
      <w:r>
        <w:t xml:space="preserve">  </w:t>
      </w:r>
    </w:p>
  </w:footnote>
  <w:footnote w:id="13">
    <w:p w14:paraId="557D6C05" w14:textId="77777777" w:rsidR="008C17F4" w:rsidRDefault="008C17F4" w:rsidP="008C17F4">
      <w:pPr>
        <w:pStyle w:val="FootnoteText"/>
      </w:pPr>
      <w:r>
        <w:rPr>
          <w:rStyle w:val="FootnoteReference"/>
        </w:rPr>
        <w:footnoteRef/>
      </w:r>
      <w:r>
        <w:t xml:space="preserve"> </w:t>
      </w:r>
      <w:hyperlink r:id="rId13" w:history="1">
        <w:r>
          <w:rPr>
            <w:rStyle w:val="Hyperlink"/>
            <w:rFonts w:cs="Lucida Grande"/>
          </w:rPr>
          <w:t>https://www.hslda.org/docs/news/ESEA_No_Database.pdf</w:t>
        </w:r>
      </w:hyperlink>
      <w:r>
        <w:rPr>
          <w:rFonts w:ascii="Lucida Grande" w:hAnsi="Lucida Grande" w:cs="Lucida Grande"/>
          <w:color w:val="000000"/>
        </w:rPr>
        <w:t xml:space="preserve"> </w:t>
      </w:r>
    </w:p>
  </w:footnote>
  <w:footnote w:id="14">
    <w:p w14:paraId="47A5E611" w14:textId="77777777" w:rsidR="008C17F4" w:rsidRDefault="008C17F4" w:rsidP="008C17F4">
      <w:pPr>
        <w:pStyle w:val="FootnoteText"/>
      </w:pPr>
      <w:r>
        <w:rPr>
          <w:rStyle w:val="FootnoteReference"/>
        </w:rPr>
        <w:footnoteRef/>
      </w:r>
      <w:r>
        <w:t xml:space="preserve"> </w:t>
      </w:r>
      <w:hyperlink r:id="rId14" w:history="1">
        <w:r>
          <w:rPr>
            <w:rStyle w:val="Hyperlink"/>
          </w:rPr>
          <w:t>https://townhall.com/columnists/emmettmcgroarty/2017/09/18/congressional-panel-wants-to-create-massive-citizen-database-but-dont-worry-its-bipartisan-n2383107</w:t>
        </w:r>
      </w:hyperlink>
      <w:r>
        <w:t xml:space="preserve"> </w:t>
      </w:r>
    </w:p>
  </w:footnote>
  <w:footnote w:id="15">
    <w:p w14:paraId="4277E362" w14:textId="77777777" w:rsidR="008C17F4" w:rsidRDefault="008C17F4" w:rsidP="008C17F4">
      <w:pPr>
        <w:pStyle w:val="FootnoteText"/>
      </w:pPr>
      <w:r>
        <w:rPr>
          <w:rStyle w:val="FootnoteReference"/>
        </w:rPr>
        <w:footnoteRef/>
      </w:r>
      <w:r>
        <w:t xml:space="preserve"> </w:t>
      </w:r>
      <w:hyperlink r:id="rId15" w:history="1">
        <w:r>
          <w:rPr>
            <w:rStyle w:val="Hyperlink"/>
          </w:rPr>
          <w:t>https://www.cep.gov/content/dam/cep/events/2017-02-09/2017-2-9-effrem.pdf</w:t>
        </w:r>
      </w:hyperlink>
      <w:r>
        <w:t xml:space="preserve"> </w:t>
      </w:r>
    </w:p>
  </w:footnote>
  <w:footnote w:id="16">
    <w:p w14:paraId="0C5AEBD7" w14:textId="77777777" w:rsidR="008C17F4" w:rsidRDefault="008C17F4" w:rsidP="008C17F4">
      <w:pPr>
        <w:pStyle w:val="FootnoteText"/>
      </w:pPr>
      <w:r>
        <w:rPr>
          <w:rStyle w:val="FootnoteReference"/>
        </w:rPr>
        <w:footnoteRef/>
      </w:r>
      <w:r>
        <w:t xml:space="preserve"> </w:t>
      </w:r>
      <w:hyperlink r:id="rId16" w:history="1">
        <w:r>
          <w:rPr>
            <w:rStyle w:val="Hyperlink"/>
          </w:rPr>
          <w:t>http://bit.ly/2m9Dkln</w:t>
        </w:r>
      </w:hyperlink>
      <w:r>
        <w:t xml:space="preserve"> </w:t>
      </w:r>
    </w:p>
  </w:footnote>
  <w:footnote w:id="17">
    <w:p w14:paraId="1716444A" w14:textId="77777777" w:rsidR="008C17F4" w:rsidRDefault="008C17F4" w:rsidP="008C17F4">
      <w:pPr>
        <w:pStyle w:val="FootnoteText"/>
      </w:pPr>
      <w:r>
        <w:rPr>
          <w:rStyle w:val="FootnoteReference"/>
        </w:rPr>
        <w:footnoteRef/>
      </w:r>
      <w:r>
        <w:t xml:space="preserve"> </w:t>
      </w:r>
      <w:hyperlink r:id="rId17" w:history="1">
        <w:r>
          <w:rPr>
            <w:rStyle w:val="Hyperlink"/>
          </w:rPr>
          <w:t>http://wapo.st/2m8KNkG</w:t>
        </w:r>
      </w:hyperlink>
      <w:r>
        <w:t xml:space="preserve"> </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55F7A"/>
    <w:multiLevelType w:val="hybridMultilevel"/>
    <w:tmpl w:val="89D2A0DE"/>
    <w:lvl w:ilvl="0" w:tplc="55481DD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95145E"/>
    <w:multiLevelType w:val="hybridMultilevel"/>
    <w:tmpl w:val="06FC6A0C"/>
    <w:lvl w:ilvl="0" w:tplc="3E5011C8">
      <w:numFmt w:val="bullet"/>
      <w:lvlText w:val=""/>
      <w:lvlJc w:val="left"/>
      <w:pPr>
        <w:ind w:left="-3240" w:hanging="360"/>
      </w:pPr>
      <w:rPr>
        <w:rFonts w:ascii="Wingdings" w:eastAsia="Times New Roman" w:hAnsi="Wingdings" w:cstheme="minorHAnsi"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360" w:hanging="360"/>
      </w:pPr>
      <w:rPr>
        <w:rFonts w:ascii="Courier New" w:hAnsi="Courier New" w:hint="default"/>
      </w:rPr>
    </w:lvl>
    <w:lvl w:ilvl="5" w:tplc="04090005">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1080" w:hanging="360"/>
      </w:pPr>
      <w:rPr>
        <w:rFonts w:ascii="Symbol" w:hAnsi="Symbol" w:hint="default"/>
      </w:rPr>
    </w:lvl>
    <w:lvl w:ilvl="7" w:tplc="04090003" w:tentative="1">
      <w:start w:val="1"/>
      <w:numFmt w:val="bullet"/>
      <w:lvlText w:val="o"/>
      <w:lvlJc w:val="left"/>
      <w:pPr>
        <w:ind w:left="1800" w:hanging="360"/>
      </w:pPr>
      <w:rPr>
        <w:rFonts w:ascii="Courier New" w:hAnsi="Courier New" w:hint="default"/>
      </w:rPr>
    </w:lvl>
    <w:lvl w:ilvl="8" w:tplc="04090005" w:tentative="1">
      <w:start w:val="1"/>
      <w:numFmt w:val="bullet"/>
      <w:lvlText w:val=""/>
      <w:lvlJc w:val="left"/>
      <w:pPr>
        <w:ind w:left="2520" w:hanging="360"/>
      </w:pPr>
      <w:rPr>
        <w:rFonts w:ascii="Wingdings" w:hAnsi="Wingdings" w:hint="default"/>
      </w:rPr>
    </w:lvl>
  </w:abstractNum>
  <w:abstractNum w:abstractNumId="2" w15:restartNumberingAfterBreak="0">
    <w:nsid w:val="5B87255A"/>
    <w:multiLevelType w:val="hybridMultilevel"/>
    <w:tmpl w:val="68981460"/>
    <w:lvl w:ilvl="0" w:tplc="3E5011C8">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8C1D54"/>
    <w:multiLevelType w:val="hybridMultilevel"/>
    <w:tmpl w:val="9A006B0E"/>
    <w:lvl w:ilvl="0" w:tplc="3E5011C8">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9E6311"/>
    <w:multiLevelType w:val="hybridMultilevel"/>
    <w:tmpl w:val="B2AE3AAA"/>
    <w:lvl w:ilvl="0" w:tplc="3E5011C8">
      <w:numFmt w:val="bullet"/>
      <w:lvlText w:val=""/>
      <w:lvlJc w:val="left"/>
      <w:pPr>
        <w:ind w:left="1080" w:hanging="360"/>
      </w:pPr>
      <w:rPr>
        <w:rFonts w:ascii="Wingdings" w:eastAsia="Times New Roman" w:hAnsi="Wingdings" w:cstheme="minorHAns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1"/>
    <w:lvlOverride w:ilvl="0"/>
    <w:lvlOverride w:ilvl="1"/>
    <w:lvlOverride w:ilvl="2"/>
    <w:lvlOverride w:ilvl="3"/>
    <w:lvlOverride w:ilvl="4"/>
    <w:lvlOverride w:ilvl="5"/>
    <w:lvlOverride w:ilvl="6"/>
    <w:lvlOverride w:ilvl="7"/>
    <w:lvlOverride w:ilvl="8"/>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42CF"/>
    <w:rsid w:val="000212C3"/>
    <w:rsid w:val="000229AF"/>
    <w:rsid w:val="000420B7"/>
    <w:rsid w:val="000502D1"/>
    <w:rsid w:val="00053CCC"/>
    <w:rsid w:val="000C3682"/>
    <w:rsid w:val="000E7CC3"/>
    <w:rsid w:val="001367BF"/>
    <w:rsid w:val="00190998"/>
    <w:rsid w:val="00266832"/>
    <w:rsid w:val="002B3266"/>
    <w:rsid w:val="002F173B"/>
    <w:rsid w:val="00313FF9"/>
    <w:rsid w:val="00340154"/>
    <w:rsid w:val="003626C5"/>
    <w:rsid w:val="003C5EC2"/>
    <w:rsid w:val="004349A0"/>
    <w:rsid w:val="004548AF"/>
    <w:rsid w:val="0051137B"/>
    <w:rsid w:val="00537F94"/>
    <w:rsid w:val="00587B01"/>
    <w:rsid w:val="006C652F"/>
    <w:rsid w:val="006D2B62"/>
    <w:rsid w:val="00717466"/>
    <w:rsid w:val="007E1E5D"/>
    <w:rsid w:val="008126E9"/>
    <w:rsid w:val="008200EB"/>
    <w:rsid w:val="00875472"/>
    <w:rsid w:val="008B7759"/>
    <w:rsid w:val="008C17F4"/>
    <w:rsid w:val="008F7291"/>
    <w:rsid w:val="009057E4"/>
    <w:rsid w:val="00940189"/>
    <w:rsid w:val="00A405F8"/>
    <w:rsid w:val="00AB169E"/>
    <w:rsid w:val="00AD27DC"/>
    <w:rsid w:val="00B33134"/>
    <w:rsid w:val="00B345CA"/>
    <w:rsid w:val="00BA31A0"/>
    <w:rsid w:val="00BA625C"/>
    <w:rsid w:val="00BC2111"/>
    <w:rsid w:val="00BE0725"/>
    <w:rsid w:val="00C1012D"/>
    <w:rsid w:val="00CA2105"/>
    <w:rsid w:val="00CF34CB"/>
    <w:rsid w:val="00DA2CA2"/>
    <w:rsid w:val="00E26BA6"/>
    <w:rsid w:val="00E356C7"/>
    <w:rsid w:val="00E35C2E"/>
    <w:rsid w:val="00F442CF"/>
    <w:rsid w:val="00F81E2C"/>
    <w:rsid w:val="00FA12F7"/>
    <w:rsid w:val="00FA1678"/>
    <w:rsid w:val="00FA390E"/>
    <w:rsid w:val="00FE37B0"/>
    <w:rsid w:val="00FF7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D2FECA"/>
  <w15:docId w15:val="{16832222-5D50-4CE1-8F6A-B5E75E54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B01"/>
    <w:pPr>
      <w:ind w:left="720"/>
      <w:contextualSpacing/>
    </w:pPr>
  </w:style>
  <w:style w:type="character" w:styleId="Hyperlink">
    <w:name w:val="Hyperlink"/>
    <w:basedOn w:val="DefaultParagraphFont"/>
    <w:uiPriority w:val="99"/>
    <w:unhideWhenUsed/>
    <w:rsid w:val="00340154"/>
    <w:rPr>
      <w:color w:val="0563C1" w:themeColor="hyperlink"/>
      <w:u w:val="single"/>
    </w:rPr>
  </w:style>
  <w:style w:type="character" w:customStyle="1" w:styleId="UnresolvedMention1">
    <w:name w:val="Unresolved Mention1"/>
    <w:basedOn w:val="DefaultParagraphFont"/>
    <w:uiPriority w:val="99"/>
    <w:semiHidden/>
    <w:unhideWhenUsed/>
    <w:rsid w:val="00340154"/>
    <w:rPr>
      <w:color w:val="808080"/>
      <w:shd w:val="clear" w:color="auto" w:fill="E6E6E6"/>
    </w:rPr>
  </w:style>
  <w:style w:type="character" w:styleId="CommentReference">
    <w:name w:val="annotation reference"/>
    <w:basedOn w:val="DefaultParagraphFont"/>
    <w:uiPriority w:val="99"/>
    <w:semiHidden/>
    <w:unhideWhenUsed/>
    <w:rsid w:val="003C5EC2"/>
    <w:rPr>
      <w:sz w:val="18"/>
      <w:szCs w:val="18"/>
    </w:rPr>
  </w:style>
  <w:style w:type="paragraph" w:styleId="CommentText">
    <w:name w:val="annotation text"/>
    <w:basedOn w:val="Normal"/>
    <w:link w:val="CommentTextChar"/>
    <w:uiPriority w:val="99"/>
    <w:semiHidden/>
    <w:unhideWhenUsed/>
    <w:rsid w:val="003C5EC2"/>
    <w:pPr>
      <w:spacing w:line="240" w:lineRule="auto"/>
    </w:pPr>
    <w:rPr>
      <w:sz w:val="24"/>
      <w:szCs w:val="24"/>
    </w:rPr>
  </w:style>
  <w:style w:type="character" w:customStyle="1" w:styleId="CommentTextChar">
    <w:name w:val="Comment Text Char"/>
    <w:basedOn w:val="DefaultParagraphFont"/>
    <w:link w:val="CommentText"/>
    <w:uiPriority w:val="99"/>
    <w:semiHidden/>
    <w:rsid w:val="003C5EC2"/>
    <w:rPr>
      <w:sz w:val="24"/>
      <w:szCs w:val="24"/>
    </w:rPr>
  </w:style>
  <w:style w:type="paragraph" w:styleId="CommentSubject">
    <w:name w:val="annotation subject"/>
    <w:basedOn w:val="CommentText"/>
    <w:next w:val="CommentText"/>
    <w:link w:val="CommentSubjectChar"/>
    <w:uiPriority w:val="99"/>
    <w:semiHidden/>
    <w:unhideWhenUsed/>
    <w:rsid w:val="003C5EC2"/>
    <w:rPr>
      <w:b/>
      <w:bCs/>
      <w:sz w:val="20"/>
      <w:szCs w:val="20"/>
    </w:rPr>
  </w:style>
  <w:style w:type="character" w:customStyle="1" w:styleId="CommentSubjectChar">
    <w:name w:val="Comment Subject Char"/>
    <w:basedOn w:val="CommentTextChar"/>
    <w:link w:val="CommentSubject"/>
    <w:uiPriority w:val="99"/>
    <w:semiHidden/>
    <w:rsid w:val="003C5EC2"/>
    <w:rPr>
      <w:b/>
      <w:bCs/>
      <w:sz w:val="20"/>
      <w:szCs w:val="20"/>
    </w:rPr>
  </w:style>
  <w:style w:type="paragraph" w:styleId="BalloonText">
    <w:name w:val="Balloon Text"/>
    <w:basedOn w:val="Normal"/>
    <w:link w:val="BalloonTextChar"/>
    <w:uiPriority w:val="99"/>
    <w:semiHidden/>
    <w:unhideWhenUsed/>
    <w:rsid w:val="003C5EC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5EC2"/>
    <w:rPr>
      <w:rFonts w:ascii="Lucida Grande" w:hAnsi="Lucida Grande" w:cs="Lucida Grande"/>
      <w:sz w:val="18"/>
      <w:szCs w:val="18"/>
    </w:rPr>
  </w:style>
  <w:style w:type="character" w:styleId="UnresolvedMention">
    <w:name w:val="Unresolved Mention"/>
    <w:basedOn w:val="DefaultParagraphFont"/>
    <w:uiPriority w:val="99"/>
    <w:semiHidden/>
    <w:unhideWhenUsed/>
    <w:rsid w:val="006C652F"/>
    <w:rPr>
      <w:color w:val="808080"/>
      <w:shd w:val="clear" w:color="auto" w:fill="E6E6E6"/>
    </w:rPr>
  </w:style>
  <w:style w:type="character" w:styleId="FollowedHyperlink">
    <w:name w:val="FollowedHyperlink"/>
    <w:basedOn w:val="DefaultParagraphFont"/>
    <w:uiPriority w:val="99"/>
    <w:semiHidden/>
    <w:unhideWhenUsed/>
    <w:rsid w:val="00537F94"/>
    <w:rPr>
      <w:color w:val="954F72" w:themeColor="followedHyperlink"/>
      <w:u w:val="single"/>
    </w:rPr>
  </w:style>
  <w:style w:type="paragraph" w:styleId="FootnoteText">
    <w:name w:val="footnote text"/>
    <w:basedOn w:val="Normal"/>
    <w:link w:val="FootnoteTextChar"/>
    <w:uiPriority w:val="99"/>
    <w:unhideWhenUsed/>
    <w:rsid w:val="002F173B"/>
    <w:pPr>
      <w:spacing w:after="0" w:line="240" w:lineRule="auto"/>
    </w:pPr>
    <w:rPr>
      <w:sz w:val="20"/>
      <w:szCs w:val="20"/>
    </w:rPr>
  </w:style>
  <w:style w:type="character" w:customStyle="1" w:styleId="FootnoteTextChar">
    <w:name w:val="Footnote Text Char"/>
    <w:basedOn w:val="DefaultParagraphFont"/>
    <w:link w:val="FootnoteText"/>
    <w:uiPriority w:val="99"/>
    <w:rsid w:val="002F173B"/>
    <w:rPr>
      <w:sz w:val="20"/>
      <w:szCs w:val="20"/>
    </w:rPr>
  </w:style>
  <w:style w:type="character" w:styleId="FootnoteReference">
    <w:name w:val="footnote reference"/>
    <w:basedOn w:val="DefaultParagraphFont"/>
    <w:uiPriority w:val="99"/>
    <w:unhideWhenUsed/>
    <w:rsid w:val="002F17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6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ersight.house.gov/hearing/reviewing-fafsa-data-breach/" TargetMode="External"/><Relationship Id="rId13" Type="http://schemas.openxmlformats.org/officeDocument/2006/relationships/hyperlink" Target="https://goo.gl/forms/yUupHKLM6PD97oI7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shingtonpost.com/news/democracy-post/wp/2017/08/18/chinas-dystopian-push-to-revolutionize-surveillance/?utm_term=.ae63d336f5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sfaa.org/news-item/7466/House_Oversight_Committee_Grills_ED_CIO_on_Conduct_Security"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www.zdnet.com/article/irs-suffers-data-breach-tax-info-on-100000-stolen/" TargetMode="External"/><Relationship Id="rId4" Type="http://schemas.openxmlformats.org/officeDocument/2006/relationships/settings" Target="settings.xml"/><Relationship Id="rId9" Type="http://schemas.openxmlformats.org/officeDocument/2006/relationships/hyperlink" Target="http://www.cnn.com/2015/07/09/politics/office-of-personnel-management-data-breach-20-million/index.html" TargetMode="Externa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edlibertywatch.org/wp-content/uploads/2017/07/Final-Letter-to-Committee-chairs-7-17-.pdf" TargetMode="External"/><Relationship Id="rId13" Type="http://schemas.openxmlformats.org/officeDocument/2006/relationships/hyperlink" Target="https://www.hslda.org/docs/news/ESEA_No_Database.pdf" TargetMode="External"/><Relationship Id="rId3" Type="http://schemas.openxmlformats.org/officeDocument/2006/relationships/hyperlink" Target="https://www.insidehighered.com/news/2017/10/12/new-federal-higher-ed-outcome-measures-count-part-time-adult-students" TargetMode="External"/><Relationship Id="rId7" Type="http://schemas.openxmlformats.org/officeDocument/2006/relationships/hyperlink" Target="https://edworkforce.house.gov/UploadedFiles/Rachael_Stickland_Written_Testimony_-_FINAL.pdf" TargetMode="External"/><Relationship Id="rId12" Type="http://schemas.openxmlformats.org/officeDocument/2006/relationships/hyperlink" Target="https://thenationalpulse.com/commentary/congressman-wants-more-federal-data-mining-parents-fooled/" TargetMode="External"/><Relationship Id="rId17" Type="http://schemas.openxmlformats.org/officeDocument/2006/relationships/hyperlink" Target="http://wapo.st/2m8KNkG" TargetMode="External"/><Relationship Id="rId2" Type="http://schemas.openxmlformats.org/officeDocument/2006/relationships/hyperlink" Target="https://www.wired.com/2012/06/wmw-arvind-narayanan/" TargetMode="External"/><Relationship Id="rId16" Type="http://schemas.openxmlformats.org/officeDocument/2006/relationships/hyperlink" Target="http://bit.ly/2m9Dkln" TargetMode="External"/><Relationship Id="rId1" Type="http://schemas.openxmlformats.org/officeDocument/2006/relationships/hyperlink" Target="http://www.lawpublish.com/ftc-fair-information-practice-principles.html" TargetMode="External"/><Relationship Id="rId6" Type="http://schemas.openxmlformats.org/officeDocument/2006/relationships/hyperlink" Target="https://epic.org/apa/ferpa/Public%20Comments%20Pt.%203.pdf" TargetMode="External"/><Relationship Id="rId11" Type="http://schemas.openxmlformats.org/officeDocument/2006/relationships/hyperlink" Target="https://www.cep.gov" TargetMode="External"/><Relationship Id="rId5" Type="http://schemas.openxmlformats.org/officeDocument/2006/relationships/hyperlink" Target="https://epic.org/privacy/student/EPIC_FERPA_Comments.pdf" TargetMode="External"/><Relationship Id="rId15" Type="http://schemas.openxmlformats.org/officeDocument/2006/relationships/hyperlink" Target="https://www.cep.gov/content/dam/cep/events/2017-02-09/2017-2-9-effrem.pdf" TargetMode="External"/><Relationship Id="rId10" Type="http://schemas.openxmlformats.org/officeDocument/2006/relationships/hyperlink" Target="https://www.cep.gov/cep-final-report.html" TargetMode="External"/><Relationship Id="rId4" Type="http://schemas.openxmlformats.org/officeDocument/2006/relationships/hyperlink" Target="https://www.gpo.gov/fdsys/pkg/FR-2011-12-02/pdf/2011-30683.pdf" TargetMode="External"/><Relationship Id="rId9" Type="http://schemas.openxmlformats.org/officeDocument/2006/relationships/hyperlink" Target="http://bit.ly/2ynay2e" TargetMode="External"/><Relationship Id="rId14" Type="http://schemas.openxmlformats.org/officeDocument/2006/relationships/hyperlink" Target="https://townhall.com/columnists/emmettmcgroarty/2017/09/18/congressional-panel-wants-to-create-massive-citizen-database-but-dont-worry-its-bipartisan-n2383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B8991-28B5-4812-A0D3-5C539AE8F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1842</Words>
  <Characters>10504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Robbins</dc:creator>
  <cp:keywords/>
  <dc:description/>
  <cp:lastModifiedBy>Mike Tuttle</cp:lastModifiedBy>
  <cp:revision>3</cp:revision>
  <dcterms:created xsi:type="dcterms:W3CDTF">2017-11-11T15:39:00Z</dcterms:created>
  <dcterms:modified xsi:type="dcterms:W3CDTF">2017-11-11T15:40:00Z</dcterms:modified>
</cp:coreProperties>
</file>